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R4-2216548</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7.5.4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SAN RF requirements for IoT over NTN</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RP-221556</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NB-IoT/eMTC core &amp; performance requirements for NTN</w:t>
      </w:r>
      <w:r>
        <w:rPr>
          <w:rFonts w:hint="eastAsia" w:cs="Times New Roman"/>
          <w:kern w:val="2"/>
          <w:sz w:val="21"/>
          <w:szCs w:val="22"/>
          <w:highlight w:val="none"/>
          <w:lang w:val="en-US" w:eastAsia="zh-CN" w:bidi="ar-SA"/>
        </w:rPr>
        <w:t xml:space="preserve"> was approved as one of Rel-18 RAN4 package. During the last RAN4 meeting, we have reached good consensus on SAN RF requirements for IoT over NTN, however there are still some remaining issues left for further discussions. In this contribution,we we want to share some further considerations on these issues.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1550"/>
        <w:gridCol w:w="3374"/>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6"/>
              <w:rPr>
                <w:bCs/>
                <w:highlight w:val="none"/>
              </w:rPr>
            </w:pPr>
            <w:r>
              <w:rPr>
                <w:highlight w:val="none"/>
              </w:rPr>
              <w:t>Requirement</w:t>
            </w:r>
          </w:p>
        </w:tc>
        <w:tc>
          <w:tcPr>
            <w:tcW w:w="0" w:type="auto"/>
          </w:tcPr>
          <w:p>
            <w:pPr>
              <w:pStyle w:val="36"/>
              <w:rPr>
                <w:rFonts w:hint="default" w:eastAsia="宋体"/>
                <w:bCs/>
                <w:highlight w:val="none"/>
                <w:lang w:val="en-US" w:eastAsia="zh-CN"/>
              </w:rPr>
            </w:pPr>
            <w:r>
              <w:rPr>
                <w:highlight w:val="none"/>
              </w:rPr>
              <w:t>Requirement clause</w:t>
            </w:r>
            <w:r>
              <w:rPr>
                <w:rFonts w:hint="eastAsia"/>
                <w:highlight w:val="none"/>
                <w:lang w:val="en-US" w:eastAsia="zh-CN"/>
              </w:rPr>
              <w:t xml:space="preserve"> of 36.108</w:t>
            </w:r>
          </w:p>
        </w:tc>
        <w:tc>
          <w:tcPr>
            <w:tcW w:w="0" w:type="auto"/>
          </w:tcPr>
          <w:p>
            <w:pPr>
              <w:pStyle w:val="36"/>
              <w:rPr>
                <w:highlight w:val="none"/>
              </w:rPr>
            </w:pPr>
            <w:r>
              <w:rPr>
                <w:highlight w:val="none"/>
              </w:rPr>
              <w:t>Updates to support SA NB-IoT</w:t>
            </w:r>
          </w:p>
        </w:tc>
        <w:tc>
          <w:tcPr>
            <w:tcW w:w="0" w:type="auto"/>
          </w:tcPr>
          <w:p>
            <w:pPr>
              <w:pStyle w:val="36"/>
              <w:rPr>
                <w:highlight w:val="none"/>
              </w:rPr>
            </w:pPr>
            <w:r>
              <w:rPr>
                <w:highlight w:val="none"/>
              </w:rPr>
              <w:t>Updates to support SA Cat-M1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6"/>
              <w:rPr>
                <w:highlight w:val="none"/>
                <w:lang w:eastAsia="zh-CN"/>
              </w:rPr>
            </w:pPr>
            <w:r>
              <w:rPr>
                <w:highlight w:val="none"/>
                <w:lang w:eastAsia="zh-CN"/>
              </w:rPr>
              <w:t>DL RS power</w:t>
            </w:r>
          </w:p>
        </w:tc>
        <w:tc>
          <w:tcPr>
            <w:tcW w:w="0" w:type="auto"/>
          </w:tcPr>
          <w:p>
            <w:pPr>
              <w:pStyle w:val="36"/>
              <w:rPr>
                <w:highlight w:val="none"/>
              </w:rPr>
            </w:pPr>
            <w:r>
              <w:rPr>
                <w:highlight w:val="none"/>
              </w:rPr>
              <w:t>Not exist</w:t>
            </w:r>
          </w:p>
        </w:tc>
        <w:tc>
          <w:tcPr>
            <w:tcW w:w="0" w:type="auto"/>
          </w:tcPr>
          <w:p>
            <w:pPr>
              <w:pStyle w:val="36"/>
              <w:rPr>
                <w:highlight w:val="none"/>
              </w:rPr>
            </w:pPr>
            <w:r>
              <w:rPr>
                <w:highlight w:val="none"/>
              </w:rPr>
              <w:t xml:space="preserve">DL RS power was E-UTRA specific. Motivation and the requirement value to be discussed next meeting. </w:t>
            </w:r>
          </w:p>
        </w:tc>
        <w:tc>
          <w:tcPr>
            <w:tcW w:w="0" w:type="auto"/>
          </w:tcPr>
          <w:p>
            <w:pPr>
              <w:pStyle w:val="36"/>
              <w:rPr>
                <w:highlight w:val="none"/>
              </w:rPr>
            </w:pPr>
            <w:r>
              <w:rPr>
                <w:highlight w:val="none"/>
              </w:rPr>
              <w:t>DL RS power was E-UTRA specific. Motivation and the requirement value to be discussed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6"/>
              <w:rPr>
                <w:highlight w:val="none"/>
              </w:rPr>
            </w:pPr>
            <w:r>
              <w:rPr>
                <w:highlight w:val="none"/>
              </w:rPr>
              <w:t>ACLR</w:t>
            </w:r>
          </w:p>
        </w:tc>
        <w:tc>
          <w:tcPr>
            <w:tcW w:w="0" w:type="auto"/>
          </w:tcPr>
          <w:p>
            <w:pPr>
              <w:pStyle w:val="36"/>
              <w:rPr>
                <w:highlight w:val="none"/>
              </w:rPr>
            </w:pPr>
            <w:r>
              <w:rPr>
                <w:highlight w:val="none"/>
              </w:rPr>
              <w:t>6.6.3</w:t>
            </w:r>
          </w:p>
        </w:tc>
        <w:tc>
          <w:tcPr>
            <w:tcW w:w="0" w:type="auto"/>
          </w:tcPr>
          <w:p>
            <w:pPr>
              <w:pStyle w:val="36"/>
              <w:rPr>
                <w:highlight w:val="none"/>
              </w:rPr>
            </w:pPr>
            <w:r>
              <w:rPr>
                <w:highlight w:val="none"/>
              </w:rPr>
              <w:t xml:space="preserve">Depend on co-existing discussion/simulation </w:t>
            </w:r>
          </w:p>
        </w:tc>
        <w:tc>
          <w:tcPr>
            <w:tcW w:w="0" w:type="auto"/>
          </w:tcPr>
          <w:p>
            <w:pPr>
              <w:pStyle w:val="36"/>
              <w:rPr>
                <w:highlight w:val="none"/>
              </w:rPr>
            </w:pPr>
            <w:r>
              <w:rPr>
                <w:highlight w:val="none"/>
              </w:rPr>
              <w:t xml:space="preserve">Depend on co-existing discussion/simulation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6"/>
              <w:rPr>
                <w:highlight w:val="none"/>
              </w:rPr>
            </w:pPr>
            <w:r>
              <w:rPr>
                <w:highlight w:val="none"/>
              </w:rPr>
              <w:t>Operating band unwanted emissions</w:t>
            </w:r>
          </w:p>
        </w:tc>
        <w:tc>
          <w:tcPr>
            <w:tcW w:w="0" w:type="auto"/>
          </w:tcPr>
          <w:p>
            <w:pPr>
              <w:pStyle w:val="36"/>
              <w:rPr>
                <w:highlight w:val="none"/>
              </w:rPr>
            </w:pPr>
            <w:r>
              <w:rPr>
                <w:highlight w:val="none"/>
              </w:rPr>
              <w:t>6.6.4</w:t>
            </w:r>
          </w:p>
        </w:tc>
        <w:tc>
          <w:tcPr>
            <w:tcW w:w="0" w:type="auto"/>
          </w:tcPr>
          <w:p>
            <w:pPr>
              <w:pStyle w:val="36"/>
              <w:rPr>
                <w:highlight w:val="none"/>
              </w:rPr>
            </w:pPr>
            <w:r>
              <w:rPr>
                <w:highlight w:val="none"/>
              </w:rPr>
              <w:t>Depend on co-existing discussion/simulation</w:t>
            </w:r>
          </w:p>
        </w:tc>
        <w:tc>
          <w:tcPr>
            <w:tcW w:w="0" w:type="auto"/>
          </w:tcPr>
          <w:p>
            <w:pPr>
              <w:pStyle w:val="36"/>
              <w:rPr>
                <w:highlight w:val="none"/>
              </w:rPr>
            </w:pPr>
            <w:r>
              <w:rPr>
                <w:highlight w:val="none"/>
              </w:rPr>
              <w:t>Depend on co-existing discussion/simulation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6"/>
              <w:rPr>
                <w:highlight w:val="none"/>
              </w:rPr>
            </w:pPr>
            <w:r>
              <w:rPr>
                <w:highlight w:val="none"/>
              </w:rPr>
              <w:t xml:space="preserve">Dynamic range </w:t>
            </w:r>
          </w:p>
        </w:tc>
        <w:tc>
          <w:tcPr>
            <w:tcW w:w="0" w:type="auto"/>
          </w:tcPr>
          <w:p>
            <w:pPr>
              <w:pStyle w:val="36"/>
              <w:rPr>
                <w:highlight w:val="none"/>
              </w:rPr>
            </w:pPr>
            <w:r>
              <w:rPr>
                <w:highlight w:val="none"/>
              </w:rPr>
              <w:t>7.3</w:t>
            </w:r>
          </w:p>
        </w:tc>
        <w:tc>
          <w:tcPr>
            <w:tcW w:w="0" w:type="auto"/>
          </w:tcPr>
          <w:p>
            <w:pPr>
              <w:pStyle w:val="40"/>
              <w:numPr>
                <w:ilvl w:val="0"/>
                <w:numId w:val="2"/>
              </w:numPr>
              <w:ind w:left="420" w:hanging="420"/>
              <w:rPr>
                <w:highlight w:val="none"/>
              </w:rPr>
            </w:pPr>
            <w:r>
              <w:rPr>
                <w:highlight w:val="none"/>
              </w:rPr>
              <w:t>Add NB-IoT channel BW</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For GEO,  to follow the same agreement without requirement defined.</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For LEO,</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 xml:space="preserve">Reuse the same </w:t>
            </w:r>
            <w:r>
              <w:rPr>
                <w:rFonts w:cs="Arial"/>
                <w:highlight w:val="none"/>
              </w:rPr>
              <w:t>FRC</w:t>
            </w:r>
            <w:r>
              <w:rPr>
                <w:rFonts w:hint="eastAsia" w:eastAsia="宋体" w:cs="Arial"/>
                <w:highlight w:val="none"/>
                <w:lang w:val="en-US" w:eastAsia="zh-CN"/>
              </w:rPr>
              <w:t xml:space="preserve"> and SNR f</w:t>
            </w:r>
            <w:r>
              <w:rPr>
                <w:rFonts w:hint="eastAsia"/>
                <w:highlight w:val="none"/>
                <w:vertAlign w:val="baseline"/>
                <w:lang w:val="en-US" w:eastAsia="zh-CN"/>
              </w:rPr>
              <w:t xml:space="preserve">or standalone NB-IoT  </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Reuse the NF for NR over NTN. e.g. 7.4dB for GEO and 4.3dB for LEO</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FFS for IoT Level for IoT over NTN</w:t>
            </w:r>
          </w:p>
          <w:p>
            <w:pPr>
              <w:pStyle w:val="40"/>
              <w:numPr>
                <w:ilvl w:val="0"/>
                <w:numId w:val="2"/>
              </w:numPr>
              <w:ind w:left="420" w:hanging="420"/>
              <w:rPr>
                <w:highlight w:val="none"/>
              </w:rPr>
            </w:pPr>
            <w:r>
              <w:rPr>
                <w:rFonts w:hint="eastAsia"/>
                <w:highlight w:val="none"/>
                <w:vertAlign w:val="baseline"/>
                <w:lang w:val="en-US" w:eastAsia="zh-CN"/>
              </w:rPr>
              <w:t>Ruse the implementation margin as 2.5dB;</w:t>
            </w:r>
          </w:p>
        </w:tc>
        <w:tc>
          <w:tcPr>
            <w:tcW w:w="0" w:type="auto"/>
          </w:tcPr>
          <w:p>
            <w:pPr>
              <w:pStyle w:val="36"/>
              <w:rPr>
                <w:highlight w:val="none"/>
              </w:rPr>
            </w:pPr>
            <w:r>
              <w:rPr>
                <w:highlight w:val="none"/>
              </w:rPr>
              <w:t>Add 1.4MHz channel BW</w:t>
            </w:r>
          </w:p>
          <w:p>
            <w:pPr>
              <w:pStyle w:val="40"/>
              <w:bidi w:val="0"/>
              <w:ind w:left="0" w:leftChars="0" w:firstLine="0" w:firstLineChars="0"/>
              <w:rPr>
                <w:rFonts w:hint="eastAsia"/>
                <w:highlight w:val="none"/>
                <w:vertAlign w:val="baseline"/>
                <w:lang w:val="en-US" w:eastAsia="zh-CN"/>
              </w:rPr>
            </w:pPr>
            <w:r>
              <w:rPr>
                <w:rFonts w:hint="eastAsia"/>
                <w:highlight w:val="none"/>
                <w:vertAlign w:val="baseline"/>
                <w:lang w:val="en-US" w:eastAsia="zh-CN"/>
              </w:rPr>
              <w:t>For GEO,  to follow the same agreement without requirement defined.</w:t>
            </w:r>
          </w:p>
          <w:p>
            <w:pPr>
              <w:pStyle w:val="40"/>
              <w:bidi w:val="0"/>
              <w:ind w:left="0" w:leftChars="0" w:firstLine="0" w:firstLineChars="0"/>
              <w:rPr>
                <w:rFonts w:hint="eastAsia"/>
                <w:highlight w:val="none"/>
                <w:vertAlign w:val="baseline"/>
                <w:lang w:val="en-US" w:eastAsia="zh-CN"/>
              </w:rPr>
            </w:pPr>
            <w:r>
              <w:rPr>
                <w:rFonts w:hint="eastAsia"/>
                <w:highlight w:val="none"/>
                <w:vertAlign w:val="baseline"/>
                <w:lang w:val="en-US" w:eastAsia="zh-CN"/>
              </w:rPr>
              <w:t>For LEO,</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 xml:space="preserve">Reuse the same </w:t>
            </w:r>
            <w:r>
              <w:rPr>
                <w:rFonts w:cs="Arial"/>
                <w:highlight w:val="none"/>
              </w:rPr>
              <w:t>FRC A</w:t>
            </w:r>
            <w:r>
              <w:rPr>
                <w:rFonts w:hint="eastAsia" w:eastAsia="宋体" w:cs="Arial"/>
                <w:highlight w:val="none"/>
                <w:lang w:val="en-US" w:eastAsia="zh-CN"/>
              </w:rPr>
              <w:t>2</w:t>
            </w:r>
            <w:r>
              <w:rPr>
                <w:rFonts w:cs="Arial"/>
                <w:highlight w:val="none"/>
              </w:rPr>
              <w:t>-1</w:t>
            </w:r>
            <w:r>
              <w:rPr>
                <w:rFonts w:hint="eastAsia" w:eastAsia="宋体" w:cs="Arial"/>
                <w:highlight w:val="none"/>
                <w:lang w:val="en-US" w:eastAsia="zh-CN"/>
              </w:rPr>
              <w:t xml:space="preserve"> and SNR f</w:t>
            </w:r>
            <w:r>
              <w:rPr>
                <w:rFonts w:hint="eastAsia"/>
                <w:highlight w:val="none"/>
                <w:vertAlign w:val="baseline"/>
                <w:lang w:val="en-US" w:eastAsia="zh-CN"/>
              </w:rPr>
              <w:t xml:space="preserve">or 1.4MHz LTE BW  </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Reuse the NF for NR over NTN. e.g. 7.4dB for GEO and 4.3dB for LEO</w:t>
            </w:r>
          </w:p>
          <w:p>
            <w:pPr>
              <w:pStyle w:val="40"/>
              <w:numPr>
                <w:ilvl w:val="0"/>
                <w:numId w:val="2"/>
              </w:numPr>
              <w:bidi w:val="0"/>
              <w:ind w:left="420" w:leftChars="0" w:hanging="420" w:firstLineChars="0"/>
              <w:rPr>
                <w:rFonts w:hint="eastAsia"/>
                <w:highlight w:val="none"/>
                <w:vertAlign w:val="baseline"/>
                <w:lang w:val="en-US" w:eastAsia="zh-CN"/>
              </w:rPr>
            </w:pPr>
            <w:r>
              <w:rPr>
                <w:rFonts w:hint="eastAsia"/>
                <w:highlight w:val="none"/>
                <w:vertAlign w:val="baseline"/>
                <w:lang w:val="en-US" w:eastAsia="zh-CN"/>
              </w:rPr>
              <w:t>Reuse IoT 15dB for NR over NTN</w:t>
            </w:r>
          </w:p>
          <w:p>
            <w:pPr>
              <w:pStyle w:val="40"/>
              <w:numPr>
                <w:ilvl w:val="0"/>
                <w:numId w:val="2"/>
              </w:numPr>
              <w:bidi w:val="0"/>
              <w:ind w:left="420" w:leftChars="0" w:hanging="420" w:firstLineChars="0"/>
              <w:rPr>
                <w:rFonts w:hint="default"/>
                <w:highlight w:val="none"/>
                <w:vertAlign w:val="baseline"/>
                <w:lang w:val="en-US" w:eastAsia="zh-CN"/>
              </w:rPr>
            </w:pPr>
            <w:r>
              <w:rPr>
                <w:rFonts w:hint="eastAsia"/>
                <w:highlight w:val="none"/>
                <w:vertAlign w:val="baseline"/>
                <w:lang w:val="en-US" w:eastAsia="zh-CN"/>
              </w:rPr>
              <w:t>Ruse the implementation margin as 2.5dB;</w:t>
            </w:r>
          </w:p>
          <w:p>
            <w:pPr>
              <w:pStyle w:val="36"/>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6"/>
              <w:rPr>
                <w:highlight w:val="none"/>
              </w:rPr>
            </w:pPr>
            <w:r>
              <w:rPr>
                <w:highlight w:val="none"/>
              </w:rPr>
              <w:t xml:space="preserve">ACS </w:t>
            </w:r>
          </w:p>
        </w:tc>
        <w:tc>
          <w:tcPr>
            <w:tcW w:w="0" w:type="auto"/>
          </w:tcPr>
          <w:p>
            <w:pPr>
              <w:pStyle w:val="36"/>
              <w:rPr>
                <w:highlight w:val="none"/>
              </w:rPr>
            </w:pPr>
            <w:r>
              <w:rPr>
                <w:highlight w:val="none"/>
              </w:rPr>
              <w:t>7.4.1</w:t>
            </w:r>
          </w:p>
        </w:tc>
        <w:tc>
          <w:tcPr>
            <w:tcW w:w="0" w:type="auto"/>
          </w:tcPr>
          <w:p>
            <w:pPr>
              <w:pStyle w:val="36"/>
              <w:rPr>
                <w:highlight w:val="none"/>
              </w:rPr>
            </w:pPr>
            <w:r>
              <w:rPr>
                <w:highlight w:val="none"/>
              </w:rPr>
              <w:t xml:space="preserve">Depend on co-existing simulation </w:t>
            </w:r>
          </w:p>
        </w:tc>
        <w:tc>
          <w:tcPr>
            <w:tcW w:w="0" w:type="auto"/>
          </w:tcPr>
          <w:p>
            <w:pPr>
              <w:pStyle w:val="36"/>
              <w:rPr>
                <w:highlight w:val="none"/>
              </w:rPr>
            </w:pPr>
            <w:r>
              <w:rPr>
                <w:highlight w:val="none"/>
              </w:rPr>
              <w:t>Depend on co-existing simulation</w:t>
            </w: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2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DL RS power</w:t>
      </w:r>
    </w:p>
    <w:p>
      <w:pPr>
        <w:autoSpaceDE/>
        <w:autoSpaceDN/>
        <w:adjustRightInd/>
        <w:snapToGrid/>
        <w:spacing w:before="0" w:beforeLines="-2147483648" w:after="0" w:afterLines="-2147483648" w:line="240" w:lineRule="auto"/>
        <w:jc w:val="left"/>
        <w:rPr>
          <w:rFonts w:hint="default" w:ascii="Times New Roman" w:hAnsi="Times New Roman" w:cs="Times New Roman"/>
          <w:sz w:val="22"/>
          <w:szCs w:val="22"/>
          <w:lang w:val="en-US" w:eastAsia="zh-CN"/>
        </w:rPr>
      </w:pPr>
      <w:r>
        <w:rPr>
          <w:rFonts w:hint="eastAsia" w:cs="Times New Roman"/>
          <w:sz w:val="22"/>
          <w:szCs w:val="22"/>
          <w:lang w:val="en-US" w:eastAsia="zh-CN"/>
        </w:rPr>
        <w:t>DL RS power accuracy requirement was introduced in UTRA for CPICH channel from UE demod perspective and this requirement was inherited for E-UTRA DL RS power accuracy, however during the Rel-15 NR work item phase, this requirement was removed with the confirmation from UE vendors, therefore the practical usage of this requirement might be not so strong. Based on the previous discussions, we are open for the discussion of its necessity. If UE chipset vendors have strong interest to include this requirement for SAN RF and then we propose to reuse the existing requirement from LTE BS.</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to reuse the existing requirement from LTE BS if UE chipset vendors have strong preference/interest to include this requirement for SAN RF.</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ACLR/ACS</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sz w:val="22"/>
          <w:szCs w:val="22"/>
          <w:lang w:val="en-US" w:eastAsia="zh-CN"/>
        </w:rPr>
        <w:t xml:space="preserve">For SAN DL ACLR requirement, it is mainly dependent on the coexistence case 3. In case 3, NTN SAN DL transmission would cause the interference to TN UE. The effective ACLR of NTN SAN is according to the section 6.3 of TR 36.802[3]. The initial simulation result is shown as the following table. </w:t>
      </w:r>
    </w:p>
    <w:tbl>
      <w:tblPr>
        <w:tblStyle w:val="2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6"/>
        <w:gridCol w:w="1464"/>
        <w:gridCol w:w="785"/>
        <w:gridCol w:w="785"/>
        <w:gridCol w:w="785"/>
        <w:gridCol w:w="785"/>
        <w:gridCol w:w="785"/>
        <w:gridCol w:w="785"/>
        <w:gridCol w:w="78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6" w:type="dxa"/>
            <w:noWrap/>
            <w:vAlign w:val="top"/>
          </w:tcPr>
          <w:p>
            <w:pPr>
              <w:pStyle w:val="34"/>
              <w:rPr>
                <w:rFonts w:hint="default" w:eastAsia="宋体"/>
                <w:lang w:val="en-US" w:eastAsia="zh-CN"/>
              </w:rPr>
            </w:pPr>
            <w:r>
              <w:rPr>
                <w:rFonts w:hint="eastAsia" w:eastAsia="宋体"/>
                <w:lang w:val="en-US" w:eastAsia="zh-CN"/>
              </w:rPr>
              <w:t>Case 3</w:t>
            </w:r>
          </w:p>
        </w:tc>
        <w:tc>
          <w:tcPr>
            <w:tcW w:w="1464" w:type="dxa"/>
            <w:noWrap/>
            <w:vAlign w:val="top"/>
          </w:tcPr>
          <w:p>
            <w:pPr>
              <w:pStyle w:val="34"/>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5</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10</w:t>
            </w:r>
          </w:p>
        </w:tc>
        <w:tc>
          <w:tcPr>
            <w:tcW w:w="785" w:type="dxa"/>
            <w:noWrap/>
            <w:vAlign w:val="top"/>
          </w:tcPr>
          <w:p>
            <w:pPr>
              <w:spacing w:after="0"/>
              <w:jc w:val="center"/>
              <w:rPr>
                <w:rFonts w:hint="default" w:ascii="Arial" w:hAnsi="Arial" w:eastAsia="宋体" w:cs="Arial"/>
                <w:color w:val="auto"/>
                <w:kern w:val="2"/>
                <w:sz w:val="18"/>
                <w:szCs w:val="18"/>
                <w:highlight w:val="none"/>
                <w:lang w:val="en-US" w:eastAsia="zh-CN" w:bidi="ar-SA"/>
              </w:rPr>
            </w:pPr>
            <w:r>
              <w:rPr>
                <w:rFonts w:hint="default" w:ascii="Arial" w:hAnsi="Arial" w:eastAsia="宋体" w:cs="Arial"/>
                <w:color w:val="auto"/>
                <w:sz w:val="18"/>
                <w:szCs w:val="18"/>
                <w:highlight w:val="none"/>
                <w:lang w:val="en-US" w:eastAsia="zh-CN"/>
              </w:rPr>
              <w:t>15</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0</w:t>
            </w:r>
          </w:p>
        </w:tc>
        <w:tc>
          <w:tcPr>
            <w:tcW w:w="785"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2</w:t>
            </w:r>
            <w:r>
              <w:rPr>
                <w:rFonts w:hint="default" w:ascii="Arial" w:hAnsi="Arial" w:eastAsia="宋体" w:cs="Arial"/>
                <w:color w:val="auto"/>
                <w:sz w:val="18"/>
                <w:szCs w:val="18"/>
                <w:highlight w:val="none"/>
                <w:lang w:val="en-US" w:eastAsia="zh-CN"/>
              </w:rPr>
              <w:t>5</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0</w:t>
            </w:r>
          </w:p>
        </w:tc>
        <w:tc>
          <w:tcPr>
            <w:tcW w:w="786" w:type="dxa"/>
            <w:noWrap/>
            <w:vAlign w:val="top"/>
          </w:tcPr>
          <w:p>
            <w:pPr>
              <w:spacing w:after="0"/>
              <w:jc w:val="center"/>
              <w:rPr>
                <w:rFonts w:hint="default" w:ascii="Arial" w:hAnsi="Arial" w:eastAsia="宋体" w:cs="Arial"/>
                <w:color w:val="auto"/>
                <w:sz w:val="18"/>
                <w:szCs w:val="18"/>
                <w:highlight w:val="none"/>
                <w:lang w:val="en-US" w:eastAsia="zh-CN"/>
              </w:rPr>
            </w:pPr>
            <w:r>
              <w:rPr>
                <w:rFonts w:hint="eastAsia" w:ascii="Arial" w:hAnsi="Arial" w:eastAsia="宋体" w:cs="Arial"/>
                <w:color w:val="auto"/>
                <w:sz w:val="18"/>
                <w:szCs w:val="18"/>
                <w:highlight w:val="none"/>
                <w:lang w:val="en-US" w:eastAsia="zh-CN"/>
              </w:rPr>
              <w:t>3</w:t>
            </w:r>
            <w:r>
              <w:rPr>
                <w:rFonts w:hint="default" w:ascii="Arial" w:hAnsi="Arial" w:eastAsia="宋体" w:cs="Arial"/>
                <w:color w:val="auto"/>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6" w:type="dxa"/>
            <w:vMerge w:val="restart"/>
            <w:shd w:val="clear" w:color="auto" w:fill="DCD8C2"/>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4"/>
              <w:jc w:val="center"/>
              <w:rPr>
                <w:rFonts w:hint="default" w:eastAsia="宋体"/>
                <w:b w:val="0"/>
                <w:bCs/>
                <w:lang w:val="en-US" w:eastAsia="zh-CN"/>
              </w:rPr>
            </w:pPr>
            <w:r>
              <w:rPr>
                <w:rFonts w:hint="eastAsia" w:ascii="Arial" w:hAnsi="Arial" w:eastAsia="宋体" w:cs="Times New Roman"/>
                <w:b w:val="0"/>
                <w:bCs/>
                <w:lang w:val="en-US" w:eastAsia="zh-CN"/>
              </w:rPr>
              <w:t>TN_AAS_DL</w:t>
            </w:r>
          </w:p>
        </w:tc>
        <w:tc>
          <w:tcPr>
            <w:tcW w:w="1464" w:type="dxa"/>
            <w:noWrap/>
            <w:vAlign w:val="top"/>
          </w:tcPr>
          <w:p>
            <w:pPr>
              <w:pStyle w:val="34"/>
              <w:rPr>
                <w:rFonts w:eastAsia="宋体"/>
                <w:b w:val="0"/>
                <w:bCs/>
                <w:lang w:eastAsia="ja-JP"/>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22.88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continue"/>
            <w:shd w:val="clear" w:color="auto" w:fill="DCD8C2"/>
            <w:noWrap/>
            <w:vAlign w:val="center"/>
          </w:tcPr>
          <w:p>
            <w:pPr>
              <w:pStyle w:val="34"/>
              <w:jc w:val="center"/>
              <w:rPr>
                <w:rFonts w:hint="eastAsia" w:eastAsia="宋体"/>
                <w:b w:val="0"/>
                <w:bCs/>
                <w:lang w:val="en-US" w:eastAsia="zh-CN"/>
              </w:rPr>
            </w:pPr>
          </w:p>
        </w:tc>
        <w:tc>
          <w:tcPr>
            <w:tcW w:w="1464" w:type="dxa"/>
            <w:noWrap/>
            <w:vAlign w:val="top"/>
          </w:tcPr>
          <w:p>
            <w:pPr>
              <w:pStyle w:val="34"/>
              <w:rPr>
                <w:rFonts w:hint="default"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31.78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216" w:type="dxa"/>
            <w:vMerge w:val="restart"/>
            <w:shd w:val="clear" w:color="auto" w:fill="DCD8C2"/>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GEO_Rural</w:t>
            </w:r>
          </w:p>
          <w:p>
            <w:pPr>
              <w:pStyle w:val="34"/>
              <w:jc w:val="center"/>
              <w:rPr>
                <w:rFonts w:hint="eastAsia" w:eastAsia="宋体"/>
                <w:b w:val="0"/>
                <w:bCs/>
                <w:lang w:val="en-US" w:eastAsia="zh-CN"/>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13.88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5.25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0.15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0.06</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kern w:val="0"/>
                <w:sz w:val="18"/>
                <w:szCs w:val="18"/>
                <w:highlight w:val="none"/>
                <w:lang w:val="en-US" w:eastAsia="zh-CN" w:bidi="ar-SA"/>
              </w:rPr>
            </w:pPr>
            <w:r>
              <w:rPr>
                <w:rFonts w:hint="default" w:ascii="Arial" w:hAnsi="Arial" w:eastAsia="宋体" w:cs="Arial"/>
                <w:i w:val="0"/>
                <w:color w:val="000000"/>
                <w:kern w:val="0"/>
                <w:sz w:val="18"/>
                <w:szCs w:val="18"/>
                <w:u w:val="none"/>
                <w:lang w:val="en-US" w:eastAsia="zh-CN" w:bidi="ar"/>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4"/>
              <w:jc w:val="center"/>
              <w:rPr>
                <w:rFonts w:eastAsia="宋体"/>
                <w:b w:val="0"/>
                <w:bCs/>
                <w:lang w:eastAsia="ja-JP"/>
              </w:rPr>
            </w:pPr>
          </w:p>
        </w:tc>
        <w:tc>
          <w:tcPr>
            <w:tcW w:w="1464" w:type="dxa"/>
            <w:noWrap/>
            <w:vAlign w:val="top"/>
          </w:tcPr>
          <w:p>
            <w:pPr>
              <w:pStyle w:val="34"/>
              <w:rPr>
                <w:rFonts w:hint="default" w:ascii="Arial" w:hAnsi="Arial" w:eastAsia="宋体" w:cs="Times New Roman"/>
                <w:b w:val="0"/>
                <w:bCs/>
                <w:kern w:val="0"/>
                <w:sz w:val="18"/>
                <w:szCs w:val="20"/>
                <w:lang w:val="en-US" w:eastAsia="ja-JP"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53.77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26.93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10.44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3.41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DCD8C2"/>
            <w:noWrap/>
            <w:vAlign w:val="center"/>
          </w:tcPr>
          <w:p>
            <w:pPr>
              <w:pStyle w:val="34"/>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4"/>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4"/>
              <w:jc w:val="center"/>
              <w:rPr>
                <w:rFonts w:eastAsia="宋体"/>
                <w:b w:val="0"/>
                <w:bCs/>
                <w:lang w:eastAsia="ja-JP"/>
              </w:rPr>
            </w:pP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6" w:type="dxa"/>
            <w:vMerge w:val="restart"/>
            <w:shd w:val="clear" w:color="auto" w:fill="DCD8C2"/>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4"/>
              <w:jc w:val="center"/>
              <w:rPr>
                <w:rFonts w:eastAsia="宋体"/>
                <w:b w:val="0"/>
                <w:bCs/>
                <w:lang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DCD8C2"/>
            <w:noWrap/>
            <w:vAlign w:val="center"/>
          </w:tcPr>
          <w:p>
            <w:pPr>
              <w:pStyle w:val="34"/>
              <w:jc w:val="center"/>
              <w:rPr>
                <w:rFonts w:eastAsia="宋体"/>
                <w:b w:val="0"/>
                <w:bCs/>
                <w:lang w:eastAsia="ja-JP"/>
              </w:rPr>
            </w:pP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00B0F0"/>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4"/>
              <w:jc w:val="center"/>
              <w:rPr>
                <w:rFonts w:eastAsia="宋体"/>
                <w:b w:val="0"/>
                <w:bCs/>
                <w:lang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A</w:t>
            </w:r>
            <w:r>
              <w:rPr>
                <w:b w:val="0"/>
                <w:bCs/>
              </w:rPr>
              <w:t>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43.80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10.97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4"/>
              <w:jc w:val="center"/>
              <w:rPr>
                <w:rFonts w:eastAsia="宋体"/>
                <w:b w:val="0"/>
                <w:bCs/>
                <w:lang w:eastAsia="ja-JP"/>
              </w:rPr>
            </w:pPr>
          </w:p>
        </w:tc>
        <w:tc>
          <w:tcPr>
            <w:tcW w:w="1464" w:type="dxa"/>
            <w:noWrap/>
            <w:vAlign w:val="top"/>
          </w:tcPr>
          <w:p>
            <w:pPr>
              <w:pStyle w:val="34"/>
              <w:rPr>
                <w:rFonts w:hint="eastAsia" w:ascii="Arial" w:hAnsi="Arial" w:eastAsia="宋体" w:cs="Times New Roman"/>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13.73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4.78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1.44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0.52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LEO600KM_Rural</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81.39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59.52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33.93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15.03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1.83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0.50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6" w:type="dxa"/>
            <w:vMerge w:val="continue"/>
            <w:shd w:val="clear" w:color="auto" w:fill="C7DAF1"/>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eastAsia="宋体"/>
                <w:b w:val="0"/>
                <w:bCs/>
                <w:lang w:val="en-US" w:eastAsia="zh-CN"/>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57.48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29.79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11.85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4.23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1.39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4"/>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0.84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1.32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C7DAF1"/>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LEO600KM</w:t>
            </w:r>
          </w:p>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2.58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0.33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0.02</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C7DAF1"/>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3.89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65.02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43.60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24.52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11.09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4.36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1.53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0.43</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84.37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62.61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34.51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14.18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4.92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1.69</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0.45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LEO1200KM_Rural</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81.37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59.34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33.96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15.14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5.52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1.95</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0.64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100.00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57.16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29.37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11.36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3.94</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1.41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lang w:val="en-US" w:eastAsia="zh-CN"/>
              </w:rPr>
            </w:pPr>
            <w:r>
              <w:rPr>
                <w:rFonts w:hint="default" w:ascii="Arial" w:hAnsi="Arial" w:eastAsia="宋体" w:cs="Arial"/>
                <w:i w:val="0"/>
                <w:color w:val="000000"/>
                <w:kern w:val="0"/>
                <w:sz w:val="18"/>
                <w:szCs w:val="18"/>
                <w:u w:val="none"/>
                <w:lang w:val="en-US" w:eastAsia="zh-CN"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4"/>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2.34</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0.82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0.29</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0.08</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center"/>
          </w:tcPr>
          <w:p>
            <w:pPr>
              <w:pStyle w:val="34"/>
              <w:jc w:val="center"/>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0.91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0.21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0.05</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ja-JP"/>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ja-JP"/>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216" w:type="dxa"/>
            <w:vMerge w:val="restart"/>
            <w:shd w:val="clear" w:color="auto" w:fill="F2DCDC"/>
            <w:noWrap/>
            <w:vAlign w:val="center"/>
          </w:tcPr>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LEO1200KM</w:t>
            </w:r>
          </w:p>
          <w:p>
            <w:pPr>
              <w:pStyle w:val="34"/>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Urban_macro</w:t>
            </w:r>
          </w:p>
          <w:p>
            <w:pPr>
              <w:pStyle w:val="34"/>
              <w:jc w:val="center"/>
              <w:rPr>
                <w:rFonts w:hint="eastAsia" w:eastAsia="宋体"/>
                <w:b w:val="0"/>
                <w:bCs/>
                <w:lang w:val="en-US" w:eastAsia="ja-JP"/>
              </w:rPr>
            </w:pPr>
            <w:r>
              <w:rPr>
                <w:rFonts w:hint="eastAsia" w:ascii="Arial" w:hAnsi="Arial" w:eastAsia="宋体" w:cs="Times New Roman"/>
                <w:b w:val="0"/>
                <w:bCs/>
                <w:lang w:val="en-US" w:eastAsia="zh-CN"/>
              </w:rPr>
              <w:t>TN_non_AAS_DL</w:t>
            </w: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Average throughput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2.87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0.27</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0.03</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0.01</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dxa"/>
            <w:vMerge w:val="continue"/>
            <w:shd w:val="clear" w:color="auto" w:fill="F2DCDC"/>
            <w:noWrap/>
            <w:vAlign w:val="top"/>
          </w:tcPr>
          <w:p>
            <w:pPr>
              <w:pStyle w:val="34"/>
              <w:rPr>
                <w:rFonts w:hint="eastAsia" w:eastAsia="宋体"/>
                <w:b w:val="0"/>
                <w:bCs/>
                <w:lang w:val="en-US" w:eastAsia="ja-JP"/>
              </w:rPr>
            </w:pPr>
          </w:p>
        </w:tc>
        <w:tc>
          <w:tcPr>
            <w:tcW w:w="1464" w:type="dxa"/>
            <w:noWrap/>
            <w:vAlign w:val="top"/>
          </w:tcPr>
          <w:p>
            <w:pPr>
              <w:pStyle w:val="34"/>
              <w:rPr>
                <w:rFonts w:hint="eastAsia" w:ascii="Arial" w:hAnsi="Arial" w:eastAsia="宋体"/>
                <w:b w:val="0"/>
                <w:bCs/>
                <w:kern w:val="0"/>
                <w:sz w:val="18"/>
                <w:szCs w:val="20"/>
                <w:lang w:val="en-US" w:eastAsia="zh-CN" w:bidi="ar-SA"/>
              </w:rPr>
            </w:pPr>
            <w:r>
              <w:rPr>
                <w:rFonts w:hint="eastAsia" w:eastAsia="宋体"/>
                <w:b w:val="0"/>
                <w:bCs/>
                <w:lang w:val="en-US" w:eastAsia="zh-CN"/>
              </w:rPr>
              <w:t>Cell edge through loss</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3.96</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0.81</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0.10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0.02</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5"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yellow"/>
                <w:lang w:val="en-US" w:eastAsia="zh-CN"/>
              </w:rPr>
            </w:pPr>
            <w:r>
              <w:rPr>
                <w:rFonts w:hint="default" w:ascii="Arial" w:hAnsi="Arial" w:eastAsia="宋体" w:cs="Arial"/>
                <w:i w:val="0"/>
                <w:color w:val="000000"/>
                <w:kern w:val="0"/>
                <w:sz w:val="18"/>
                <w:szCs w:val="18"/>
                <w:highlight w:val="yellow"/>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c>
          <w:tcPr>
            <w:tcW w:w="786" w:type="dxa"/>
            <w:noWrap/>
            <w:vAlign w:val="center"/>
          </w:tcPr>
          <w:p>
            <w:pPr>
              <w:keepNext w:val="0"/>
              <w:keepLines w:val="0"/>
              <w:widowControl/>
              <w:suppressLineNumbers w:val="0"/>
              <w:jc w:val="center"/>
              <w:textAlignment w:val="bottom"/>
              <w:rPr>
                <w:rFonts w:hint="default" w:ascii="Arial" w:hAnsi="Arial" w:eastAsia="宋体" w:cs="Arial"/>
                <w:b w:val="0"/>
                <w:bCs/>
                <w:color w:val="auto"/>
                <w:sz w:val="18"/>
                <w:szCs w:val="18"/>
                <w:highlight w:val="none"/>
                <w:lang w:val="en-US" w:eastAsia="zh-CN"/>
              </w:rPr>
            </w:pPr>
            <w:r>
              <w:rPr>
                <w:rFonts w:hint="default" w:ascii="Arial" w:hAnsi="Arial" w:eastAsia="宋体" w:cs="Arial"/>
                <w:i w:val="0"/>
                <w:color w:val="000000"/>
                <w:kern w:val="0"/>
                <w:sz w:val="18"/>
                <w:szCs w:val="18"/>
                <w:u w:val="none"/>
                <w:lang w:val="en-US" w:eastAsia="zh-CN" w:bidi="ar"/>
              </w:rPr>
              <w:t>0.00</w:t>
            </w:r>
          </w:p>
        </w:tc>
      </w:tr>
    </w:tbl>
    <w:p>
      <w:pPr>
        <w:autoSpaceDE/>
        <w:autoSpaceDN/>
        <w:adjustRightInd/>
        <w:snapToGrid/>
        <w:spacing w:before="0" w:beforeLines="-2147483648" w:after="0" w:afterLines="-2147483648" w:line="240" w:lineRule="auto"/>
        <w:jc w:val="left"/>
        <w:rPr>
          <w:rFonts w:hint="default"/>
          <w:sz w:val="20"/>
          <w:lang w:val="en-US" w:eastAsia="zh-CN"/>
        </w:rPr>
      </w:pPr>
      <w:r>
        <w:rPr>
          <w:rFonts w:hint="eastAsia" w:cs="Times New Roman"/>
          <w:sz w:val="22"/>
          <w:szCs w:val="22"/>
          <w:lang w:val="en-US" w:eastAsia="zh-CN"/>
        </w:rPr>
        <w:t>For ACS requirement for SAN supporting IoT over NTN, this still depends on the simulation results for Case 2 and Case 6, more simulation results would be provided for more concrete proposals for SAN Rx ACS requirements.</w:t>
      </w:r>
    </w:p>
    <w:p>
      <w:pPr>
        <w:autoSpaceDE/>
        <w:autoSpaceDN/>
        <w:adjustRightInd/>
        <w:snapToGrid/>
        <w:spacing w:before="0" w:beforeLines="-2147483648" w:after="0" w:afterLines="-2147483648" w:line="240" w:lineRule="auto"/>
        <w:jc w:val="left"/>
        <w:rPr>
          <w:rFonts w:hint="eastAsia"/>
          <w:b w:val="0"/>
          <w:bCs w:val="0"/>
          <w:sz w:val="22"/>
          <w:szCs w:val="22"/>
          <w:lang w:val="en-US" w:eastAsia="zh-CN"/>
        </w:rPr>
      </w:pPr>
      <w:r>
        <w:rPr>
          <w:rFonts w:hint="eastAsia"/>
          <w:b/>
          <w:bCs/>
          <w:sz w:val="22"/>
          <w:szCs w:val="22"/>
          <w:lang w:val="en-US" w:eastAsia="zh-CN"/>
        </w:rPr>
        <w:t xml:space="preserve">Proposal 2: </w:t>
      </w:r>
      <w:r>
        <w:rPr>
          <w:rFonts w:hint="eastAsia"/>
          <w:b w:val="0"/>
          <w:bCs w:val="0"/>
          <w:sz w:val="22"/>
          <w:szCs w:val="22"/>
          <w:lang w:val="en-US" w:eastAsia="zh-CN"/>
        </w:rPr>
        <w:t>to define ACLR as 24dB for LEO SAN class and ACLR as 14dB for GEO SAN class without 100kHz frequency gap next to 1</w:t>
      </w:r>
      <w:r>
        <w:rPr>
          <w:rFonts w:hint="eastAsia"/>
          <w:b w:val="0"/>
          <w:bCs w:val="0"/>
          <w:sz w:val="22"/>
          <w:szCs w:val="22"/>
          <w:vertAlign w:val="superscript"/>
          <w:lang w:val="en-US" w:eastAsia="zh-CN"/>
        </w:rPr>
        <w:t xml:space="preserve">s </w:t>
      </w:r>
      <w:r>
        <w:rPr>
          <w:rFonts w:hint="eastAsia"/>
          <w:b w:val="0"/>
          <w:bCs w:val="0"/>
          <w:sz w:val="22"/>
          <w:szCs w:val="22"/>
          <w:lang w:val="en-US" w:eastAsia="zh-CN"/>
        </w:rPr>
        <w:t>adjacent carriers.</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SAN DL UEM</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Based on the simulation results for coexistence scenario 2 and initial proposal 2 for SAN ACLR requirement, we think that the existing NR SAN OBUE requirement could be also applicable for IoT over NTN SAN. Basically we have two reasons to support this proposal. Firstly, the ACLR requirement for SAN supporting IoT over NTN could be the same as that of SAN supporting NR over NTN. Secondly, OBUE requirement is somehow bandwidth agnostic defined, in other words, this OBUE requirement could be also scaled to 200kHz for IoT over NTN and 1.4MHz for eMTC over NTN.</w:t>
      </w:r>
    </w:p>
    <w:p>
      <w:pPr>
        <w:pStyle w:val="44"/>
        <w:rPr>
          <w:rFonts w:eastAsia="Times New Roman" w:cs="Arial"/>
          <w:b w:val="0"/>
          <w:lang w:val="en-US"/>
        </w:rPr>
      </w:pPr>
      <w:r>
        <w:rPr>
          <w:rFonts w:eastAsia="Times New Roman" w:cs="Arial"/>
          <w:lang w:val="en-US"/>
        </w:rPr>
        <w:t xml:space="preserve">Table 6.6.4.2-1: SAN LEO and </w:t>
      </w:r>
      <w:r>
        <w:rPr>
          <w:rFonts w:cs="Arial"/>
          <w:lang w:val="en-US" w:eastAsia="zh-CN"/>
        </w:rPr>
        <w:t>GEO</w:t>
      </w:r>
      <w:r>
        <w:rPr>
          <w:rFonts w:eastAsia="Times New Roman" w:cs="Arial"/>
          <w:lang w:val="en-US"/>
        </w:rPr>
        <w:t xml:space="preserve"> Classes OBUE basic limits</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776"/>
        <w:gridCol w:w="516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34"/>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34"/>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34"/>
            </w:pPr>
            <w:r>
              <w:rPr>
                <w:lang w:eastAsia="zh-CN"/>
              </w:rPr>
              <w:t>Basic limits</w:t>
            </w:r>
          </w:p>
          <w:p>
            <w:pPr>
              <w:pStyle w:val="34"/>
            </w:pPr>
            <w:r>
              <w:t>(dBm)</w:t>
            </w:r>
          </w:p>
          <w:p>
            <w:pPr>
              <w:pStyle w:val="34"/>
            </w:pPr>
          </w:p>
        </w:tc>
        <w:tc>
          <w:tcPr>
            <w:tcW w:w="561" w:type="pct"/>
            <w:tcBorders>
              <w:top w:val="single" w:color="auto" w:sz="4" w:space="0"/>
              <w:left w:val="single" w:color="auto" w:sz="4" w:space="0"/>
              <w:bottom w:val="single" w:color="auto" w:sz="4" w:space="0"/>
              <w:right w:val="single" w:color="auto" w:sz="4" w:space="0"/>
            </w:tcBorders>
          </w:tcPr>
          <w:p>
            <w:pPr>
              <w:pStyle w:val="34"/>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35"/>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35"/>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35"/>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ctrlPr>
                          <w:rPr>
                            <w:rFonts w:ascii="Cambria Math" w:hAnsi="Cambria Math"/>
                            <w:i/>
                            <w:sz w:val="11"/>
                            <w:lang w:eastAsia="zh-CN"/>
                          </w:rPr>
                        </m:ctrlPr>
                      </m:e>
                      <m:sub>
                        <m: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w:rPr>
                            <w:rFonts w:ascii="Cambria Math" w:hAnsi="Cambria Math"/>
                            <w:sz w:val="11"/>
                            <w:lang w:eastAsia="zh-CN"/>
                          </w:rPr>
                          <m:t>dB</m:t>
                        </m:r>
                        <m:ctrlPr>
                          <w:rPr>
                            <w:rFonts w:ascii="Cambria Math" w:hAnsi="Cambria Math"/>
                            <w:i/>
                            <w:sz w:val="11"/>
                            <w:lang w:eastAsia="zh-CN"/>
                          </w:rPr>
                        </m:ctrlP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w:rPr>
                                    <w:rFonts w:ascii="Cambria Math" w:hAnsi="Cambria Math"/>
                                    <w:sz w:val="11"/>
                                    <w:lang w:eastAsia="zh-CN"/>
                                  </w:rPr>
                                  <m:t xml:space="preserve"> </m:t>
                                </m:r>
                                <m:r>
                                  <w:rPr>
                                    <w:rFonts w:ascii="Cambria Math" w:hAnsi="Cambria Math" w:cs="Arial" w:eastAsiaTheme="minorHAnsi"/>
                                    <w:szCs w:val="18"/>
                                  </w:rPr>
                                  <m:t>f</m:t>
                                </m:r>
                                <m:ctrlPr>
                                  <w:rPr>
                                    <w:rFonts w:ascii="Cambria Math" w:hAnsi="Cambria Math" w:cs="Arial" w:eastAsiaTheme="minorHAnsi"/>
                                    <w:i/>
                                    <w:iCs/>
                                    <w:szCs w:val="18"/>
                                  </w:rPr>
                                </m:ctrlPr>
                              </m:e>
                              <m:sub>
                                <m:r>
                                  <w:rPr>
                                    <w:rFonts w:ascii="Cambria Math" w:hAnsi="Cambria Math" w:cs="Arial" w:eastAsiaTheme="minorHAnsi"/>
                                    <w:szCs w:val="18"/>
                                  </w:rPr>
                                  <m:t>_offset</m:t>
                                </m:r>
                                <m:ctrlPr>
                                  <w:rPr>
                                    <w:rFonts w:ascii="Cambria Math" w:hAnsi="Cambria Math" w:cs="Arial" w:eastAsiaTheme="minorHAnsi"/>
                                    <w:i/>
                                    <w:iCs/>
                                    <w:szCs w:val="18"/>
                                  </w:rPr>
                                </m:ctrlPr>
                              </m:sub>
                            </m:sSub>
                            <m:r>
                              <w:rPr>
                                <w:rFonts w:ascii="Cambria Math" w:hAnsi="Cambria Math" w:cs="MS Gothic"/>
                                <w:szCs w:val="18"/>
                                <w:lang w:eastAsia="zh-CN"/>
                              </w:rPr>
                              <m:t>-</m:t>
                            </m:r>
                            <m: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w:rPr>
                                    <w:rFonts w:ascii="Cambria Math" w:hAnsi="Cambria Math"/>
                                    <w:sz w:val="11"/>
                                    <w:lang w:eastAsia="zh-CN"/>
                                  </w:rPr>
                                  <m:t>BW</m:t>
                                </m:r>
                                <m:ctrlPr>
                                  <w:rPr>
                                    <w:rFonts w:ascii="Cambria Math" w:hAnsi="Cambria Math"/>
                                    <w:i/>
                                    <w:sz w:val="11"/>
                                    <w:lang w:eastAsia="zh-CN"/>
                                  </w:rPr>
                                </m:ctrlPr>
                              </m:e>
                              <m:sub>
                                <m:r>
                                  <w:rPr>
                                    <w:rFonts w:ascii="Cambria Math" w:hAnsi="Cambria Math"/>
                                    <w:sz w:val="11"/>
                                    <w:lang w:eastAsia="zh-CN"/>
                                  </w:rPr>
                                  <m:t>Channel</m:t>
                                </m:r>
                                <m:ctrlPr>
                                  <w:rPr>
                                    <w:rFonts w:ascii="Cambria Math" w:hAnsi="Cambria Math"/>
                                    <w:i/>
                                    <w:sz w:val="11"/>
                                    <w:lang w:eastAsia="zh-CN"/>
                                  </w:rPr>
                                </m:ctrlPr>
                              </m:sub>
                            </m:sSub>
                            <m:ctrlPr>
                              <w:rPr>
                                <w:rFonts w:ascii="Cambria Math" w:hAnsi="Cambria Math"/>
                                <w:i/>
                                <w:sz w:val="11"/>
                                <w:lang w:eastAsia="zh-CN"/>
                              </w:rPr>
                            </m:ctrlPr>
                          </m:den>
                        </m:f>
                        <m: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35"/>
              <w:rPr>
                <w:rFonts w:cs="Arial"/>
                <w:lang w:eastAsia="zh-CN"/>
              </w:rPr>
            </w:pPr>
            <w:r>
              <w:rPr>
                <w:rFonts w:cs="Arial"/>
                <w:lang w:eastAsia="zh-CN"/>
              </w:rPr>
              <w:t>4kHz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47"/>
              <w:rPr>
                <w:lang w:val="en-US"/>
              </w:rPr>
            </w:pPr>
            <w:r>
              <w:rPr>
                <w:rFonts w:hint="eastAsia" w:cs="Arial"/>
                <w:lang w:val="en-US" w:eastAsia="zh-CN"/>
              </w:rPr>
              <w:t>N</w:t>
            </w:r>
            <w:r>
              <w:rPr>
                <w:rFonts w:cs="Arial"/>
                <w:lang w:val="en-US" w:eastAsia="zh-CN"/>
              </w:rPr>
              <w:t xml:space="preserve">OTE 1: </w:t>
            </w:r>
            <w:r>
              <w:rPr>
                <w:lang w:val="en-US"/>
              </w:rPr>
              <w:t>PSD</w:t>
            </w:r>
            <w:r>
              <w:rPr>
                <w:vertAlign w:val="subscript"/>
                <w:lang w:val="en-US"/>
              </w:rPr>
              <w:t xml:space="preserve">channel </w:t>
            </w:r>
            <w:r>
              <w:rPr>
                <w:lang w:val="en-US"/>
              </w:rPr>
              <w:t>= P</w:t>
            </w:r>
            <w:r>
              <w:rPr>
                <w:vertAlign w:val="subscript"/>
                <w:lang w:val="en-US"/>
              </w:rPr>
              <w:t xml:space="preserve">rated,c </w:t>
            </w:r>
            <w:r>
              <w:rPr>
                <w:lang w:val="en-US"/>
              </w:rPr>
              <w:t>– 10log10(BW</w:t>
            </w:r>
            <w:r>
              <w:rPr>
                <w:vertAlign w:val="subscript"/>
                <w:lang w:val="en-US"/>
              </w:rPr>
              <w:t>Channel</w:t>
            </w:r>
            <w:r>
              <w:rPr>
                <w:lang w:val="en-US"/>
              </w:rPr>
              <w:t>) – 24, unit dBm/4kHz.</w:t>
            </w:r>
          </w:p>
          <w:p>
            <w:pPr>
              <w:pStyle w:val="47"/>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47"/>
              <w:rPr>
                <w:rFonts w:cs="Arial"/>
                <w:lang w:val="en-US" w:eastAsia="zh-CN"/>
              </w:rPr>
            </w:pPr>
            <w:r>
              <w:rPr>
                <w:rFonts w:cs="Arial"/>
                <w:lang w:val="en-US" w:eastAsia="zh-CN"/>
              </w:rPr>
              <w:t>NOTE 3: PSD attenuation as in ITU-R SM.1541-6 [9], Annex 5 OoB domain emission limits for space services.</w:t>
            </w:r>
          </w:p>
          <w:p>
            <w:pPr>
              <w:pStyle w:val="47"/>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ctrlPr>
                    <w:rPr>
                      <w:rFonts w:ascii="Cambria Math" w:hAnsi="Cambria Math" w:cs="Arial"/>
                      <w:i/>
                      <w:lang w:val="en-US" w:eastAsia="zh-CN"/>
                    </w:rPr>
                  </m:ctrlPr>
                </m:e>
                <m:sub>
                  <m: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autoSpaceDE/>
        <w:autoSpaceDN/>
        <w:adjustRightInd/>
        <w:snapToGrid/>
        <w:spacing w:before="0" w:beforeLines="-2147483648" w:after="0" w:afterLines="-2147483648" w:line="240" w:lineRule="auto"/>
        <w:jc w:val="left"/>
        <w:rPr>
          <w:rFonts w:hint="default"/>
          <w:sz w:val="20"/>
          <w:lang w:val="en-US" w:eastAsia="zh-CN"/>
        </w:rPr>
      </w:pPr>
    </w:p>
    <w:p>
      <w:pPr>
        <w:autoSpaceDE/>
        <w:autoSpaceDN/>
        <w:adjustRightInd/>
        <w:snapToGrid/>
        <w:spacing w:before="0" w:beforeLines="-2147483648" w:after="0" w:afterLines="-2147483648" w:line="240" w:lineRule="auto"/>
        <w:jc w:val="left"/>
        <w:rPr>
          <w:rFonts w:hint="default"/>
          <w:b/>
          <w:bCs/>
          <w:sz w:val="22"/>
          <w:szCs w:val="22"/>
          <w:lang w:val="en-US" w:eastAsia="zh-CN"/>
        </w:rPr>
      </w:pPr>
      <w:r>
        <w:rPr>
          <w:rFonts w:hint="eastAsia"/>
          <w:b/>
          <w:bCs/>
          <w:sz w:val="22"/>
          <w:szCs w:val="22"/>
          <w:lang w:val="en-US" w:eastAsia="zh-CN"/>
        </w:rPr>
        <w:t xml:space="preserve">Proposal 3: </w:t>
      </w:r>
      <w:r>
        <w:rPr>
          <w:rFonts w:hint="eastAsia"/>
          <w:sz w:val="20"/>
          <w:lang w:val="en-US" w:eastAsia="zh-CN"/>
        </w:rPr>
        <w:t>to reuse the existing NR SAN OBUE requirement for IoT over NTN SAN OBUE requirements</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IoT level for dynamic range requirement for NB-IoT over NTN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Similar as Rel-17 NTN SAN, legacy LTE BS dynamic range requirement and FR2 BS dynamic range requirement discussion, we need to check the IoT level in different NTN deployment scenarios and the initial simulation results are shown in the following Figure 1/2/3/4/5/6. Based on the simulation results obtained so far, it could be found that IoT level@95% CDF for different deployment scenarios are also varying. The details of IoT level in the different deployment scenarios are summarized in the following table.</w:t>
      </w:r>
    </w:p>
    <w:p>
      <w:pPr>
        <w:pStyle w:val="52"/>
        <w:jc w:val="center"/>
        <w:rPr>
          <w:rFonts w:hint="eastAsia"/>
          <w:lang w:val="en-US" w:eastAsia="zh-CN"/>
        </w:rPr>
      </w:pPr>
      <w:r>
        <w:drawing>
          <wp:inline distT="0" distB="0" distL="114300" distR="114300">
            <wp:extent cx="3238500" cy="24288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sz w:val="20"/>
          <w:szCs w:val="20"/>
          <w:lang w:val="en-US" w:eastAsia="zh-CN"/>
        </w:rPr>
      </w:pPr>
      <w:r>
        <w:rPr>
          <w:rFonts w:hint="eastAsia"/>
          <w:sz w:val="20"/>
          <w:szCs w:val="20"/>
          <w:lang w:val="en-US" w:eastAsia="zh-CN"/>
        </w:rPr>
        <w:t>Figure 1a. IoT leve1 in GEO Rural scenario</w:t>
      </w:r>
    </w:p>
    <w:p>
      <w:pPr>
        <w:pStyle w:val="52"/>
        <w:jc w:val="center"/>
        <w:rPr>
          <w:rFonts w:hint="default"/>
          <w:sz w:val="20"/>
          <w:szCs w:val="20"/>
          <w:lang w:val="en-US" w:eastAsia="zh-CN"/>
        </w:rPr>
      </w:pPr>
      <w:r>
        <w:drawing>
          <wp:inline distT="0" distB="0" distL="114300" distR="114300">
            <wp:extent cx="3238500" cy="24288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sz w:val="20"/>
          <w:szCs w:val="20"/>
          <w:lang w:val="en-US" w:eastAsia="zh-CN"/>
        </w:rPr>
      </w:pPr>
      <w:r>
        <w:rPr>
          <w:rFonts w:hint="eastAsia"/>
          <w:sz w:val="20"/>
          <w:szCs w:val="20"/>
          <w:lang w:val="en-US" w:eastAsia="zh-CN"/>
        </w:rPr>
        <w:t xml:space="preserve">Figure 1b. IoT level in GEO Urban macro scenario </w:t>
      </w:r>
    </w:p>
    <w:p>
      <w:pPr>
        <w:pStyle w:val="52"/>
        <w:jc w:val="center"/>
        <w:rPr>
          <w:rFonts w:hint="eastAsia"/>
          <w:lang w:val="en-US" w:eastAsia="zh-CN"/>
        </w:rPr>
      </w:pPr>
      <w:r>
        <w:drawing>
          <wp:inline distT="0" distB="0" distL="114300" distR="114300">
            <wp:extent cx="3238500" cy="2428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r>
        <w:rPr>
          <w:rFonts w:hint="eastAsia"/>
          <w:sz w:val="20"/>
          <w:szCs w:val="20"/>
          <w:lang w:val="en-US" w:eastAsia="zh-CN"/>
        </w:rPr>
        <w:t xml:space="preserve">Figure 1c. IoT leve1 in GEO Rural scenario with single tone 15kHz </w:t>
      </w:r>
    </w:p>
    <w:p>
      <w:pPr>
        <w:pStyle w:val="52"/>
        <w:jc w:val="center"/>
        <w:rPr>
          <w:rFonts w:hint="default"/>
          <w:sz w:val="20"/>
          <w:szCs w:val="20"/>
          <w:lang w:val="en-US" w:eastAsia="zh-CN"/>
        </w:rPr>
      </w:pPr>
      <w:r>
        <w:drawing>
          <wp:inline distT="0" distB="0" distL="114300" distR="114300">
            <wp:extent cx="323850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r>
        <w:rPr>
          <w:rFonts w:hint="eastAsia"/>
          <w:sz w:val="20"/>
          <w:szCs w:val="20"/>
          <w:lang w:val="en-US" w:eastAsia="zh-CN"/>
        </w:rPr>
        <w:t>Figure 1d. IoT level in GEO Urban macro scenario with single tone 15kHz</w:t>
      </w:r>
    </w:p>
    <w:p>
      <w:pPr>
        <w:pStyle w:val="52"/>
        <w:jc w:val="center"/>
        <w:rPr>
          <w:rFonts w:hint="default"/>
          <w:sz w:val="20"/>
          <w:szCs w:val="20"/>
          <w:lang w:val="en-US" w:eastAsia="zh-CN"/>
        </w:rPr>
      </w:pPr>
      <w:r>
        <w:drawing>
          <wp:inline distT="0" distB="0" distL="114300" distR="114300">
            <wp:extent cx="3238500" cy="24288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1e. IoT leve1 in GEO Rural scenario with single tone 3.75kHz </w:t>
      </w:r>
    </w:p>
    <w:p>
      <w:pPr>
        <w:pStyle w:val="52"/>
        <w:jc w:val="center"/>
        <w:rPr>
          <w:rFonts w:hint="default"/>
          <w:sz w:val="20"/>
          <w:szCs w:val="20"/>
          <w:lang w:val="en-US" w:eastAsia="zh-CN"/>
        </w:rPr>
      </w:pPr>
      <w:r>
        <w:drawing>
          <wp:inline distT="0" distB="0" distL="114300" distR="114300">
            <wp:extent cx="3238500" cy="2428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lang w:val="en-US" w:eastAsia="zh-CN"/>
        </w:rPr>
      </w:pPr>
      <w:r>
        <w:rPr>
          <w:rFonts w:hint="eastAsia"/>
          <w:sz w:val="20"/>
          <w:szCs w:val="20"/>
          <w:lang w:val="en-US" w:eastAsia="zh-CN"/>
        </w:rPr>
        <w:t>Figure 1f. IoT level in GEO Urban macro scenario with single tone 3.75kHz</w:t>
      </w:r>
    </w:p>
    <w:p>
      <w:pPr>
        <w:pStyle w:val="52"/>
        <w:jc w:val="both"/>
        <w:rPr>
          <w:rFonts w:hint="default"/>
          <w:sz w:val="20"/>
          <w:szCs w:val="20"/>
          <w:lang w:val="en-US" w:eastAsia="zh-CN"/>
        </w:rPr>
      </w:pPr>
    </w:p>
    <w:p>
      <w:pPr>
        <w:pStyle w:val="52"/>
        <w:jc w:val="center"/>
        <w:rPr>
          <w:rFonts w:hint="eastAsia"/>
          <w:lang w:val="en-US" w:eastAsia="zh-CN"/>
        </w:rPr>
      </w:pPr>
    </w:p>
    <w:p>
      <w:pPr>
        <w:pStyle w:val="52"/>
        <w:jc w:val="center"/>
        <w:rPr>
          <w:rFonts w:hint="eastAsia"/>
          <w:sz w:val="20"/>
          <w:szCs w:val="20"/>
          <w:lang w:val="en-US" w:eastAsia="zh-CN"/>
        </w:rPr>
      </w:pPr>
      <w:r>
        <w:rPr>
          <w:rFonts w:hint="eastAsia"/>
          <w:sz w:val="20"/>
          <w:szCs w:val="20"/>
          <w:lang w:val="en-US" w:eastAsia="zh-CN"/>
        </w:rPr>
        <w:t>Figure 2a. IoT leve1 in LEO1200km Rural scenario</w:t>
      </w:r>
    </w:p>
    <w:p>
      <w:pPr>
        <w:pStyle w:val="52"/>
        <w:jc w:val="center"/>
        <w:rPr>
          <w:rFonts w:hint="default"/>
          <w:sz w:val="20"/>
          <w:szCs w:val="20"/>
          <w:lang w:val="en-US" w:eastAsia="zh-CN"/>
        </w:rPr>
      </w:pPr>
    </w:p>
    <w:p>
      <w:pPr>
        <w:pStyle w:val="52"/>
        <w:jc w:val="center"/>
        <w:rPr>
          <w:rFonts w:hint="eastAsia"/>
          <w:sz w:val="20"/>
          <w:szCs w:val="20"/>
          <w:lang w:val="en-US" w:eastAsia="zh-CN"/>
        </w:rPr>
      </w:pPr>
      <w:r>
        <w:rPr>
          <w:rFonts w:hint="eastAsia"/>
          <w:sz w:val="20"/>
          <w:szCs w:val="20"/>
          <w:lang w:val="en-US" w:eastAsia="zh-CN"/>
        </w:rPr>
        <w:t xml:space="preserve">Figure 2b. IoT level in LEO1200km Urban macro scenario </w:t>
      </w:r>
    </w:p>
    <w:p>
      <w:pPr>
        <w:pStyle w:val="52"/>
        <w:jc w:val="both"/>
        <w:rPr>
          <w:rFonts w:hint="eastAsia"/>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2c. IoT leve1 in LEO1200km Rural scenario with single tone 15kHz </w:t>
      </w: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Figure 2d. IoT level in LEO1200km Urban macro scenario with single tone 15kHz</w:t>
      </w:r>
    </w:p>
    <w:p>
      <w:pPr>
        <w:pStyle w:val="52"/>
        <w:jc w:val="center"/>
        <w:rPr>
          <w:rFonts w:hint="default"/>
          <w:sz w:val="20"/>
          <w:szCs w:val="20"/>
          <w:lang w:val="en-US" w:eastAsia="zh-CN"/>
        </w:rPr>
      </w:pP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2e. IoT leve1 in LEO1200km Rural scenario with single tone 3.75kHz </w:t>
      </w:r>
    </w:p>
    <w:p>
      <w:pPr>
        <w:pStyle w:val="52"/>
        <w:jc w:val="center"/>
        <w:rPr>
          <w:rFonts w:hint="default"/>
          <w:sz w:val="20"/>
          <w:szCs w:val="20"/>
          <w:lang w:val="en-US" w:eastAsia="zh-CN"/>
        </w:rPr>
      </w:pPr>
      <w:r>
        <w:drawing>
          <wp:inline distT="0" distB="0" distL="114300" distR="114300">
            <wp:extent cx="3238500" cy="24288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pStyle w:val="52"/>
        <w:jc w:val="center"/>
        <w:rPr>
          <w:rFonts w:hint="default"/>
          <w:sz w:val="20"/>
          <w:szCs w:val="20"/>
          <w:highlight w:val="yellow"/>
          <w:lang w:val="en-US" w:eastAsia="zh-CN"/>
        </w:rPr>
      </w:pPr>
      <w:r>
        <w:rPr>
          <w:rFonts w:hint="eastAsia"/>
          <w:sz w:val="20"/>
          <w:szCs w:val="20"/>
          <w:highlight w:val="yellow"/>
          <w:lang w:val="en-US" w:eastAsia="zh-CN"/>
        </w:rPr>
        <w:t>Figure 2f. IoT level in LEO1200km Urban macro scenario with single tone 3.75kHz</w:t>
      </w:r>
    </w:p>
    <w:p>
      <w:pPr>
        <w:pStyle w:val="52"/>
        <w:jc w:val="both"/>
        <w:rPr>
          <w:rFonts w:hint="default"/>
          <w:sz w:val="20"/>
          <w:szCs w:val="20"/>
          <w:lang w:val="en-US" w:eastAsia="zh-CN"/>
        </w:rPr>
      </w:pPr>
    </w:p>
    <w:p>
      <w:pPr>
        <w:pStyle w:val="52"/>
        <w:jc w:val="both"/>
        <w:rPr>
          <w:rFonts w:hint="default"/>
          <w:sz w:val="20"/>
          <w:szCs w:val="20"/>
          <w:lang w:val="en-US" w:eastAsia="zh-CN"/>
        </w:rPr>
      </w:pPr>
    </w:p>
    <w:p>
      <w:pPr>
        <w:pStyle w:val="52"/>
        <w:jc w:val="center"/>
        <w:rPr>
          <w:rFonts w:hint="eastAsia"/>
          <w:sz w:val="20"/>
          <w:szCs w:val="20"/>
          <w:lang w:val="en-US" w:eastAsia="zh-CN"/>
        </w:rPr>
      </w:pPr>
      <w:r>
        <w:rPr>
          <w:rFonts w:hint="eastAsia"/>
          <w:sz w:val="20"/>
          <w:szCs w:val="20"/>
          <w:lang w:val="en-US" w:eastAsia="zh-CN"/>
        </w:rPr>
        <w:t>Figure 3a. IoT leve1 in LEO600km Rural scenario</w:t>
      </w:r>
    </w:p>
    <w:p>
      <w:pPr>
        <w:pStyle w:val="52"/>
        <w:jc w:val="center"/>
        <w:rPr>
          <w:rFonts w:hint="default"/>
          <w:sz w:val="20"/>
          <w:szCs w:val="20"/>
          <w:lang w:val="en-US" w:eastAsia="zh-CN"/>
        </w:rPr>
      </w:pPr>
    </w:p>
    <w:p>
      <w:pPr>
        <w:pStyle w:val="52"/>
        <w:jc w:val="center"/>
        <w:rPr>
          <w:rFonts w:hint="eastAsia"/>
          <w:sz w:val="20"/>
          <w:szCs w:val="20"/>
          <w:lang w:val="en-US" w:eastAsia="zh-CN"/>
        </w:rPr>
      </w:pPr>
      <w:r>
        <w:rPr>
          <w:rFonts w:hint="eastAsia"/>
          <w:sz w:val="20"/>
          <w:szCs w:val="20"/>
          <w:lang w:val="en-US" w:eastAsia="zh-CN"/>
        </w:rPr>
        <w:t xml:space="preserve">Figure 3b. IoT level in LEO600km Urban macro scenario </w:t>
      </w:r>
    </w:p>
    <w:p>
      <w:pPr>
        <w:pStyle w:val="52"/>
        <w:jc w:val="both"/>
        <w:rPr>
          <w:rFonts w:hint="eastAsia"/>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3c. IoT leve1 in LEO600km Rural scenario with single tone 15kHz </w:t>
      </w: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Figure 3d. IoT level in LEO600km Urban macro scenario with single tone 15kHz</w:t>
      </w:r>
    </w:p>
    <w:p>
      <w:pPr>
        <w:pStyle w:val="52"/>
        <w:jc w:val="center"/>
        <w:rPr>
          <w:rFonts w:hint="default"/>
          <w:sz w:val="20"/>
          <w:szCs w:val="20"/>
          <w:lang w:val="en-US" w:eastAsia="zh-CN"/>
        </w:rPr>
      </w:pPr>
    </w:p>
    <w:p>
      <w:pPr>
        <w:pStyle w:val="52"/>
        <w:jc w:val="center"/>
        <w:rPr>
          <w:rFonts w:hint="default"/>
          <w:sz w:val="20"/>
          <w:szCs w:val="20"/>
          <w:lang w:val="en-US" w:eastAsia="zh-CN"/>
        </w:rPr>
      </w:pPr>
    </w:p>
    <w:p>
      <w:pPr>
        <w:pStyle w:val="52"/>
        <w:jc w:val="center"/>
        <w:rPr>
          <w:rFonts w:hint="default"/>
          <w:sz w:val="20"/>
          <w:szCs w:val="20"/>
          <w:lang w:val="en-US" w:eastAsia="zh-CN"/>
        </w:rPr>
      </w:pPr>
      <w:r>
        <w:rPr>
          <w:rFonts w:hint="eastAsia"/>
          <w:sz w:val="20"/>
          <w:szCs w:val="20"/>
          <w:lang w:val="en-US" w:eastAsia="zh-CN"/>
        </w:rPr>
        <w:t xml:space="preserve">Figure 3e. IoT leve1 in LEO600km Rural scenario with single tone 3.75kHz </w:t>
      </w:r>
    </w:p>
    <w:p>
      <w:pPr>
        <w:pStyle w:val="52"/>
        <w:jc w:val="center"/>
        <w:rPr>
          <w:rFonts w:hint="default"/>
          <w:sz w:val="20"/>
          <w:szCs w:val="20"/>
          <w:lang w:val="en-US" w:eastAsia="zh-CN"/>
        </w:rPr>
      </w:pPr>
      <w:r>
        <w:drawing>
          <wp:inline distT="0" distB="0" distL="114300" distR="114300">
            <wp:extent cx="3238500" cy="2428875"/>
            <wp:effectExtent l="0" t="0" r="0" b="952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2"/>
                    <a:stretch>
                      <a:fillRect/>
                    </a:stretch>
                  </pic:blipFill>
                  <pic:spPr>
                    <a:xfrm>
                      <a:off x="0" y="0"/>
                      <a:ext cx="3238500" cy="2428875"/>
                    </a:xfrm>
                    <a:prstGeom prst="rect">
                      <a:avLst/>
                    </a:prstGeom>
                    <a:noFill/>
                    <a:ln>
                      <a:noFill/>
                    </a:ln>
                  </pic:spPr>
                </pic:pic>
              </a:graphicData>
            </a:graphic>
          </wp:inline>
        </w:drawing>
      </w:r>
    </w:p>
    <w:p>
      <w:pPr>
        <w:pStyle w:val="52"/>
        <w:jc w:val="center"/>
        <w:rPr>
          <w:rFonts w:hint="eastAsia"/>
          <w:sz w:val="20"/>
          <w:szCs w:val="20"/>
          <w:highlight w:val="yellow"/>
          <w:lang w:val="en-US" w:eastAsia="zh-CN"/>
        </w:rPr>
      </w:pPr>
      <w:r>
        <w:rPr>
          <w:rFonts w:hint="eastAsia"/>
          <w:sz w:val="20"/>
          <w:szCs w:val="20"/>
          <w:highlight w:val="yellow"/>
          <w:lang w:val="en-US" w:eastAsia="zh-CN"/>
        </w:rPr>
        <w:t>Figure 3f. IoT level in LEO600km Urban macro scenario with single tone 3.75kHz</w:t>
      </w:r>
    </w:p>
    <w:p>
      <w:pPr>
        <w:pStyle w:val="52"/>
        <w:jc w:val="both"/>
        <w:rPr>
          <w:rFonts w:hint="eastAsia"/>
          <w:sz w:val="20"/>
          <w:szCs w:val="20"/>
          <w:highlight w:val="yellow"/>
          <w:lang w:val="en-US" w:eastAsia="zh-CN"/>
        </w:rPr>
      </w:pPr>
    </w:p>
    <w:p>
      <w:pPr>
        <w:pStyle w:val="52"/>
        <w:jc w:val="center"/>
        <w:rPr>
          <w:rFonts w:hint="default"/>
          <w:b/>
          <w:bCs/>
          <w:sz w:val="20"/>
          <w:szCs w:val="20"/>
          <w:highlight w:val="none"/>
          <w:lang w:val="en-US" w:eastAsia="zh-CN"/>
        </w:rPr>
      </w:pPr>
      <w:r>
        <w:rPr>
          <w:rFonts w:hint="eastAsia"/>
          <w:b/>
          <w:bCs/>
          <w:sz w:val="20"/>
          <w:szCs w:val="20"/>
          <w:highlight w:val="none"/>
          <w:lang w:val="en-US" w:eastAsia="zh-CN"/>
        </w:rPr>
        <w:t>Table 1. summarized IoT level for IoT over NTN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4"/>
        <w:gridCol w:w="1300"/>
        <w:gridCol w:w="1705"/>
        <w:gridCol w:w="1855"/>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Multiple tone</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Single tone 15kHz</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Single tone 3.75kHz</w:t>
            </w:r>
          </w:p>
        </w:tc>
        <w:tc>
          <w:tcPr>
            <w:tcW w:w="0" w:type="auto"/>
          </w:tcPr>
          <w:p>
            <w:pPr>
              <w:pStyle w:val="52"/>
              <w:jc w:val="center"/>
              <w:rPr>
                <w:rFonts w:hint="default"/>
                <w:sz w:val="20"/>
                <w:szCs w:val="20"/>
                <w:highlight w:val="none"/>
                <w:vertAlign w:val="baseline"/>
                <w:lang w:val="en-US" w:eastAsia="zh-CN"/>
              </w:rPr>
            </w:pPr>
            <w:r>
              <w:rPr>
                <w:rFonts w:hint="eastAsia"/>
                <w:sz w:val="20"/>
                <w:szCs w:val="20"/>
                <w:highlight w:val="none"/>
                <w:vertAlign w:val="baseline"/>
                <w:lang w:val="en-US" w:eastAsia="zh-CN"/>
              </w:rPr>
              <w:t>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0" w:type="auto"/>
          </w:tcPr>
          <w:p>
            <w:pPr>
              <w:pStyle w:val="52"/>
              <w:jc w:val="left"/>
              <w:rPr>
                <w:rFonts w:hint="default"/>
                <w:sz w:val="20"/>
                <w:szCs w:val="20"/>
                <w:highlight w:val="yellow"/>
                <w:vertAlign w:val="baseline"/>
                <w:lang w:val="en-US" w:eastAsia="zh-CN"/>
              </w:rPr>
            </w:pPr>
            <w:r>
              <w:rPr>
                <w:rFonts w:hint="eastAsia"/>
                <w:sz w:val="20"/>
                <w:szCs w:val="20"/>
                <w:lang w:val="en-US" w:eastAsia="zh-CN"/>
              </w:rPr>
              <w:t>GEO Rural scenario</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4.7</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11.2</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18.2</w:t>
            </w:r>
          </w:p>
        </w:tc>
        <w:tc>
          <w:tcPr>
            <w:tcW w:w="0" w:type="auto"/>
            <w:vMerge w:val="restart"/>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52"/>
              <w:jc w:val="left"/>
              <w:rPr>
                <w:rFonts w:hint="default"/>
                <w:sz w:val="20"/>
                <w:szCs w:val="20"/>
                <w:highlight w:val="yellow"/>
                <w:vertAlign w:val="baseline"/>
                <w:lang w:val="en-US" w:eastAsia="zh-CN"/>
              </w:rPr>
            </w:pPr>
            <w:r>
              <w:rPr>
                <w:rFonts w:hint="eastAsia"/>
                <w:sz w:val="20"/>
                <w:szCs w:val="20"/>
                <w:lang w:val="en-US" w:eastAsia="zh-CN"/>
              </w:rPr>
              <w:t>GEO Urban scenario</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7.0</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~12</w:t>
            </w: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22</w:t>
            </w:r>
          </w:p>
        </w:tc>
        <w:tc>
          <w:tcPr>
            <w:tcW w:w="0" w:type="auto"/>
            <w:vMerge w:val="continue"/>
          </w:tcPr>
          <w:p>
            <w:pPr>
              <w:pStyle w:val="52"/>
              <w:jc w:val="center"/>
              <w:rPr>
                <w:rFonts w:hint="default"/>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LEO1200KM Rural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vMerge w:val="restart"/>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LEO1200KM Urban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c>
          <w:tcPr>
            <w:tcW w:w="0" w:type="auto"/>
            <w:vMerge w:val="continue"/>
          </w:tcPr>
          <w:p>
            <w:pPr>
              <w:pStyle w:val="52"/>
              <w:jc w:val="center"/>
              <w:rPr>
                <w:rFonts w:hint="default"/>
                <w:sz w:val="20"/>
                <w:szCs w:val="20"/>
                <w:highlight w:val="yellow"/>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LEO600KM Rural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vMerge w:val="restart"/>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2"/>
              <w:jc w:val="left"/>
              <w:rPr>
                <w:rFonts w:hint="default" w:ascii="Times New Roman" w:hAnsi="Times New Roman" w:eastAsia="宋体" w:cs="Times New Roman"/>
                <w:kern w:val="2"/>
                <w:sz w:val="20"/>
                <w:szCs w:val="20"/>
                <w:highlight w:val="yellow"/>
                <w:vertAlign w:val="baseline"/>
                <w:lang w:val="en-US" w:eastAsia="zh-CN" w:bidi="ar-SA"/>
              </w:rPr>
            </w:pPr>
            <w:r>
              <w:rPr>
                <w:rFonts w:hint="eastAsia"/>
                <w:sz w:val="20"/>
                <w:szCs w:val="20"/>
                <w:lang w:val="en-US" w:eastAsia="zh-CN"/>
              </w:rPr>
              <w:t>LEO600KM  Urban scenario</w:t>
            </w: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p>
        </w:tc>
        <w:tc>
          <w:tcPr>
            <w:tcW w:w="0" w:type="auto"/>
          </w:tcPr>
          <w:p>
            <w:pPr>
              <w:pStyle w:val="52"/>
              <w:jc w:val="center"/>
              <w:rPr>
                <w:rFonts w:hint="default"/>
                <w:sz w:val="20"/>
                <w:szCs w:val="20"/>
                <w:highlight w:val="yellow"/>
                <w:vertAlign w:val="baseline"/>
                <w:lang w:val="en-US" w:eastAsia="zh-CN"/>
              </w:rPr>
            </w:pPr>
            <w:r>
              <w:rPr>
                <w:rFonts w:hint="eastAsia"/>
                <w:sz w:val="20"/>
                <w:szCs w:val="20"/>
                <w:highlight w:val="yellow"/>
                <w:vertAlign w:val="baseline"/>
                <w:lang w:val="en-US" w:eastAsia="zh-CN"/>
              </w:rPr>
              <w:t>24</w:t>
            </w:r>
          </w:p>
        </w:tc>
        <w:tc>
          <w:tcPr>
            <w:tcW w:w="0" w:type="auto"/>
            <w:vMerge w:val="continue"/>
          </w:tcPr>
          <w:p>
            <w:pPr>
              <w:pStyle w:val="52"/>
              <w:jc w:val="center"/>
              <w:rPr>
                <w:rFonts w:hint="default"/>
                <w:sz w:val="20"/>
                <w:szCs w:val="20"/>
                <w:highlight w:val="yellow"/>
                <w:vertAlign w:val="baseline"/>
                <w:lang w:val="en-US" w:eastAsia="zh-CN"/>
              </w:rPr>
            </w:pPr>
          </w:p>
        </w:tc>
      </w:tr>
    </w:tbl>
    <w:p>
      <w:pPr>
        <w:pStyle w:val="52"/>
        <w:jc w:val="left"/>
        <w:rPr>
          <w:rFonts w:hint="eastAsia"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Based on </w:t>
      </w:r>
      <w:r>
        <w:rPr>
          <w:rFonts w:hint="eastAsia" w:cs="Times New Roman"/>
          <w:kern w:val="2"/>
          <w:sz w:val="21"/>
          <w:szCs w:val="22"/>
          <w:lang w:val="en-US" w:eastAsia="zh-CN" w:bidi="ar-SA"/>
        </w:rPr>
        <w:t>the initial simulation results summarized in the above table 1, it could be found that IoT level as 24dB for both GEO and LEO should be sufficient to test its performance.</w:t>
      </w:r>
    </w:p>
    <w:p>
      <w:pPr>
        <w:pStyle w:val="52"/>
        <w:jc w:val="left"/>
        <w:rPr>
          <w:rFonts w:hint="default" w:cs="Times New Roman"/>
          <w:kern w:val="2"/>
          <w:sz w:val="21"/>
          <w:szCs w:val="22"/>
          <w:lang w:val="en-US" w:eastAsia="zh-CN" w:bidi="ar-SA"/>
        </w:rPr>
      </w:pPr>
      <w:r>
        <w:rPr>
          <w:rFonts w:hint="eastAsia" w:cs="Times New Roman"/>
          <w:kern w:val="2"/>
          <w:sz w:val="21"/>
          <w:szCs w:val="22"/>
          <w:lang w:val="en-US" w:eastAsia="zh-CN" w:bidi="ar-SA"/>
        </w:rPr>
        <w:t>It should be noted that we still observe the high IoT level compared for GEO scenario especially for single tone 3.75kHz case which is different from the Rel-17 NR over NTN.</w:t>
      </w:r>
    </w:p>
    <w:p>
      <w:pPr>
        <w:pStyle w:val="52"/>
        <w:jc w:val="left"/>
        <w:rPr>
          <w:rFonts w:hint="default" w:cs="Times New Roman"/>
          <w:kern w:val="2"/>
          <w:sz w:val="21"/>
          <w:szCs w:val="22"/>
          <w:lang w:val="en-US" w:eastAsia="zh-CN" w:bidi="ar-SA"/>
        </w:rPr>
      </w:pPr>
      <w:r>
        <w:rPr>
          <w:rFonts w:hint="eastAsia" w:cs="Times New Roman"/>
          <w:b/>
          <w:bCs/>
          <w:kern w:val="2"/>
          <w:sz w:val="21"/>
          <w:szCs w:val="22"/>
          <w:lang w:val="en-US" w:eastAsia="zh-CN" w:bidi="ar-SA"/>
        </w:rPr>
        <w:t xml:space="preserve">Proposal 4: </w:t>
      </w:r>
      <w:r>
        <w:rPr>
          <w:rFonts w:hint="eastAsia" w:cs="Times New Roman"/>
          <w:kern w:val="2"/>
          <w:sz w:val="21"/>
          <w:szCs w:val="22"/>
          <w:lang w:val="en-US" w:eastAsia="zh-CN" w:bidi="ar-SA"/>
        </w:rPr>
        <w:t>to agree the IoT level as 24dBc for GEO and LEO dynamic rang requirements.</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on SAN RF requirement</w:t>
      </w:r>
      <w:r>
        <w:rPr>
          <w:rFonts w:hint="eastAsia"/>
          <w:lang w:val="en-US" w:eastAsia="zh-CN"/>
        </w:rPr>
        <w:t xml:space="preserve"> for IoT over NTN and proposals are made as following:</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w:t>
      </w:r>
      <w:r>
        <w:rPr>
          <w:rFonts w:hint="eastAsia"/>
          <w:b w:val="0"/>
          <w:bCs w:val="0"/>
          <w:sz w:val="20"/>
          <w:lang w:val="en-US" w:eastAsia="zh-CN"/>
        </w:rPr>
        <w:t xml:space="preserve"> to reuse the existing requirement from LTE BS if UE chipset vendors have strong preference/interest to include this requirement for SAN RF.</w:t>
      </w:r>
    </w:p>
    <w:p>
      <w:pPr>
        <w:autoSpaceDE/>
        <w:autoSpaceDN/>
        <w:adjustRightInd/>
        <w:snapToGrid/>
        <w:spacing w:before="0" w:beforeLines="-2147483648" w:after="0" w:afterLines="-2147483648" w:line="240" w:lineRule="auto"/>
        <w:jc w:val="left"/>
        <w:rPr>
          <w:rFonts w:hint="default"/>
          <w:b w:val="0"/>
          <w:bCs w:val="0"/>
          <w:sz w:val="22"/>
          <w:szCs w:val="22"/>
          <w:lang w:val="en-US" w:eastAsia="zh-CN"/>
        </w:rPr>
      </w:pPr>
      <w:r>
        <w:rPr>
          <w:rFonts w:hint="eastAsia"/>
          <w:b/>
          <w:bCs/>
          <w:sz w:val="22"/>
          <w:szCs w:val="22"/>
          <w:lang w:val="en-US" w:eastAsia="zh-CN"/>
        </w:rPr>
        <w:t xml:space="preserve">Proposal 2: </w:t>
      </w:r>
      <w:r>
        <w:rPr>
          <w:rFonts w:hint="eastAsia"/>
          <w:b w:val="0"/>
          <w:bCs w:val="0"/>
          <w:sz w:val="22"/>
          <w:szCs w:val="22"/>
          <w:lang w:val="en-US" w:eastAsia="zh-CN"/>
        </w:rPr>
        <w:t>to define ACLR as 24dB for LEO SAN class and ACLR as 14dB for GEO SAN class without 100kHz frequency gap next to 1</w:t>
      </w:r>
      <w:r>
        <w:rPr>
          <w:rFonts w:hint="eastAsia"/>
          <w:b w:val="0"/>
          <w:bCs w:val="0"/>
          <w:sz w:val="22"/>
          <w:szCs w:val="22"/>
          <w:vertAlign w:val="superscript"/>
          <w:lang w:val="en-US" w:eastAsia="zh-CN"/>
        </w:rPr>
        <w:t xml:space="preserve">s </w:t>
      </w:r>
      <w:r>
        <w:rPr>
          <w:rFonts w:hint="eastAsia"/>
          <w:b w:val="0"/>
          <w:bCs w:val="0"/>
          <w:sz w:val="22"/>
          <w:szCs w:val="22"/>
          <w:lang w:val="en-US" w:eastAsia="zh-CN"/>
        </w:rPr>
        <w:t>adjacent carriers.</w:t>
      </w:r>
    </w:p>
    <w:p>
      <w:pPr>
        <w:autoSpaceDE/>
        <w:autoSpaceDN/>
        <w:adjustRightInd/>
        <w:snapToGrid/>
        <w:spacing w:before="0" w:beforeLines="-2147483648" w:after="0" w:afterLines="-2147483648" w:line="240" w:lineRule="auto"/>
        <w:jc w:val="left"/>
        <w:rPr>
          <w:rFonts w:hint="eastAsia"/>
          <w:b w:val="0"/>
          <w:bCs w:val="0"/>
          <w:sz w:val="22"/>
          <w:szCs w:val="22"/>
          <w:lang w:val="en-US" w:eastAsia="zh-CN"/>
        </w:rPr>
      </w:pPr>
      <w:r>
        <w:rPr>
          <w:rFonts w:hint="eastAsia"/>
          <w:b/>
          <w:bCs/>
          <w:sz w:val="22"/>
          <w:szCs w:val="22"/>
          <w:lang w:val="en-US" w:eastAsia="zh-CN"/>
        </w:rPr>
        <w:t>Proposal 3:</w:t>
      </w:r>
      <w:r>
        <w:rPr>
          <w:rFonts w:hint="eastAsia"/>
          <w:b w:val="0"/>
          <w:bCs w:val="0"/>
          <w:sz w:val="22"/>
          <w:szCs w:val="22"/>
          <w:lang w:val="en-US" w:eastAsia="zh-CN"/>
        </w:rPr>
        <w:t xml:space="preserve"> to reuse the existing NR SAN OBUE requirement for IoT over NTN SAN OBUE requirements.</w:t>
      </w:r>
    </w:p>
    <w:p>
      <w:pPr>
        <w:pStyle w:val="52"/>
        <w:jc w:val="left"/>
        <w:rPr>
          <w:rFonts w:hint="default"/>
          <w:b/>
          <w:bCs/>
          <w:sz w:val="22"/>
          <w:szCs w:val="22"/>
          <w:lang w:val="en-US" w:eastAsia="zh-CN"/>
        </w:rPr>
      </w:pPr>
      <w:r>
        <w:rPr>
          <w:rFonts w:hint="eastAsia" w:cs="Times New Roman"/>
          <w:b/>
          <w:bCs/>
          <w:kern w:val="2"/>
          <w:sz w:val="21"/>
          <w:szCs w:val="22"/>
          <w:lang w:val="en-US" w:eastAsia="zh-CN" w:bidi="ar-SA"/>
        </w:rPr>
        <w:t xml:space="preserve">Proposal 4: </w:t>
      </w:r>
      <w:r>
        <w:rPr>
          <w:rFonts w:hint="eastAsia" w:cs="Times New Roman"/>
          <w:kern w:val="2"/>
          <w:sz w:val="21"/>
          <w:szCs w:val="22"/>
          <w:lang w:val="en-US" w:eastAsia="zh-CN" w:bidi="ar-SA"/>
        </w:rPr>
        <w:t>to agree the IoT level as 24dBc for GEO and LEO dynamic rang requirements.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RP-221556, WID on NB-IoT/eMTC core &amp; performance requirements for NTN</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R1-2200042, LS on DL synchronization enhancements for IoT NTN, RAN1 (Jan-22)</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"https://www.3gpp.org/ftp/tsg_ran/WG4_Radio/TSGR4_104-e/Inbox/R4-2214382.zip" \t "_blank" </w:instrText>
      </w:r>
      <w:r>
        <w:rPr>
          <w:rFonts w:hint="eastAsia" w:ascii="Times New Roman" w:hAnsi="Times New Roman" w:eastAsia="宋体" w:cs="Times New Roman"/>
          <w:sz w:val="20"/>
          <w:szCs w:val="20"/>
          <w:highlight w:val="none"/>
          <w:lang w:val="en-US" w:eastAsia="zh-CN"/>
        </w:rPr>
        <w:fldChar w:fldCharType="separate"/>
      </w:r>
      <w:r>
        <w:rPr>
          <w:rFonts w:hint="eastAsia" w:ascii="Times New Roman" w:hAnsi="Times New Roman" w:eastAsia="宋体" w:cs="Times New Roman"/>
          <w:sz w:val="20"/>
          <w:szCs w:val="20"/>
          <w:highlight w:val="none"/>
          <w:lang w:val="en-US" w:eastAsia="zh-CN"/>
        </w:rPr>
        <w:t>R4-2214382</w:t>
      </w:r>
      <w:r>
        <w:rPr>
          <w:rFonts w:hint="eastAsia" w:ascii="Times New Roman" w:hAnsi="Times New Roman" w:eastAsia="宋体" w:cs="Times New Roman"/>
          <w:sz w:val="20"/>
          <w:szCs w:val="20"/>
          <w:highlight w:val="none"/>
          <w:lang w:val="en-US" w:eastAsia="zh-CN"/>
        </w:rPr>
        <w:fldChar w:fldCharType="end"/>
      </w:r>
      <w:r>
        <w:rPr>
          <w:rFonts w:hint="eastAsia" w:ascii="Times New Roman" w:hAnsi="Times New Roman" w:eastAsia="宋体" w:cs="Times New Roman"/>
          <w:sz w:val="20"/>
          <w:szCs w:val="20"/>
          <w:highlight w:val="none"/>
          <w:lang w:val="en-US" w:eastAsia="zh-CN"/>
        </w:rPr>
        <w:t>,WF on SAN RF requirement for IoT over NTN, ZTE,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3504359"/>
    <w:multiLevelType w:val="singleLevel"/>
    <w:tmpl w:val="43504359"/>
    <w:lvl w:ilvl="0" w:tentative="0">
      <w:start w:val="1"/>
      <w:numFmt w:val="bullet"/>
      <w:lvlText w:val="•"/>
      <w:lvlJc w:val="left"/>
      <w:pPr>
        <w:ind w:left="420" w:leftChars="0" w:hanging="420" w:firstLineChars="0"/>
      </w:pPr>
      <w:rPr>
        <w:rFonts w:hint="default" w:ascii="Arial" w:hAnsi="Arial" w:cs="Arial"/>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5E4"/>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3C0"/>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1D83"/>
    <w:rsid w:val="01115B33"/>
    <w:rsid w:val="0112068B"/>
    <w:rsid w:val="01133912"/>
    <w:rsid w:val="01164A78"/>
    <w:rsid w:val="011B7946"/>
    <w:rsid w:val="012823DD"/>
    <w:rsid w:val="012A6A7A"/>
    <w:rsid w:val="013A4C94"/>
    <w:rsid w:val="01442D89"/>
    <w:rsid w:val="01594895"/>
    <w:rsid w:val="015C06BF"/>
    <w:rsid w:val="015F18F2"/>
    <w:rsid w:val="015F5FA3"/>
    <w:rsid w:val="016576C0"/>
    <w:rsid w:val="016800B9"/>
    <w:rsid w:val="017059E0"/>
    <w:rsid w:val="01791D2E"/>
    <w:rsid w:val="01821D8F"/>
    <w:rsid w:val="018C2266"/>
    <w:rsid w:val="018C3642"/>
    <w:rsid w:val="018D7DCE"/>
    <w:rsid w:val="0195201D"/>
    <w:rsid w:val="019C3DA8"/>
    <w:rsid w:val="01A402CD"/>
    <w:rsid w:val="01A742A2"/>
    <w:rsid w:val="01AD664D"/>
    <w:rsid w:val="01BE34DB"/>
    <w:rsid w:val="01BE6ACE"/>
    <w:rsid w:val="01C027D4"/>
    <w:rsid w:val="01C32135"/>
    <w:rsid w:val="01CB0428"/>
    <w:rsid w:val="01CB7A2C"/>
    <w:rsid w:val="01CF07AE"/>
    <w:rsid w:val="01D518FC"/>
    <w:rsid w:val="01D615E1"/>
    <w:rsid w:val="01D813B4"/>
    <w:rsid w:val="01E1598F"/>
    <w:rsid w:val="01E268ED"/>
    <w:rsid w:val="01EB414A"/>
    <w:rsid w:val="01ED0229"/>
    <w:rsid w:val="01F33D9D"/>
    <w:rsid w:val="01F60577"/>
    <w:rsid w:val="02016155"/>
    <w:rsid w:val="020F4070"/>
    <w:rsid w:val="021042F2"/>
    <w:rsid w:val="02123B99"/>
    <w:rsid w:val="021A2C38"/>
    <w:rsid w:val="021D2604"/>
    <w:rsid w:val="02293A2A"/>
    <w:rsid w:val="022D5BF3"/>
    <w:rsid w:val="022F6559"/>
    <w:rsid w:val="022F66E0"/>
    <w:rsid w:val="0238292F"/>
    <w:rsid w:val="023E7088"/>
    <w:rsid w:val="0240545F"/>
    <w:rsid w:val="024C13AB"/>
    <w:rsid w:val="02532AA9"/>
    <w:rsid w:val="025732DD"/>
    <w:rsid w:val="0262197E"/>
    <w:rsid w:val="027035EC"/>
    <w:rsid w:val="028748E0"/>
    <w:rsid w:val="02892A7A"/>
    <w:rsid w:val="02927A98"/>
    <w:rsid w:val="029342BD"/>
    <w:rsid w:val="029D3139"/>
    <w:rsid w:val="02AF6836"/>
    <w:rsid w:val="02B06DC0"/>
    <w:rsid w:val="02B31189"/>
    <w:rsid w:val="02B85839"/>
    <w:rsid w:val="02C86D51"/>
    <w:rsid w:val="02CE3DD2"/>
    <w:rsid w:val="02D72CF0"/>
    <w:rsid w:val="02DB3978"/>
    <w:rsid w:val="02DC6BBC"/>
    <w:rsid w:val="02E3271D"/>
    <w:rsid w:val="02E60529"/>
    <w:rsid w:val="02E929C0"/>
    <w:rsid w:val="02E97093"/>
    <w:rsid w:val="02F32F8E"/>
    <w:rsid w:val="02F573DC"/>
    <w:rsid w:val="02F95CD1"/>
    <w:rsid w:val="030150CB"/>
    <w:rsid w:val="030313BA"/>
    <w:rsid w:val="03142F2C"/>
    <w:rsid w:val="0315569B"/>
    <w:rsid w:val="031712C4"/>
    <w:rsid w:val="03186045"/>
    <w:rsid w:val="031967AA"/>
    <w:rsid w:val="031E0FAC"/>
    <w:rsid w:val="031E4C95"/>
    <w:rsid w:val="032E4DBB"/>
    <w:rsid w:val="03315837"/>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252BD"/>
    <w:rsid w:val="03E54642"/>
    <w:rsid w:val="03F54B29"/>
    <w:rsid w:val="03F81356"/>
    <w:rsid w:val="03F947E9"/>
    <w:rsid w:val="03FF3D36"/>
    <w:rsid w:val="04034FE6"/>
    <w:rsid w:val="040B2442"/>
    <w:rsid w:val="040C6238"/>
    <w:rsid w:val="040D36FE"/>
    <w:rsid w:val="040E704D"/>
    <w:rsid w:val="0414098A"/>
    <w:rsid w:val="041875C1"/>
    <w:rsid w:val="04193A43"/>
    <w:rsid w:val="04225784"/>
    <w:rsid w:val="04252816"/>
    <w:rsid w:val="042A2EED"/>
    <w:rsid w:val="04362880"/>
    <w:rsid w:val="043711E5"/>
    <w:rsid w:val="04376B0F"/>
    <w:rsid w:val="043C0819"/>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C07625"/>
    <w:rsid w:val="04D66461"/>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01C03"/>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D851B9"/>
    <w:rsid w:val="06F30672"/>
    <w:rsid w:val="06F35A7A"/>
    <w:rsid w:val="06F35AB6"/>
    <w:rsid w:val="06F66B05"/>
    <w:rsid w:val="06FB1B0F"/>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C7284"/>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0F4BCD"/>
    <w:rsid w:val="08171593"/>
    <w:rsid w:val="08260ED1"/>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9F44C2"/>
    <w:rsid w:val="08A03B5E"/>
    <w:rsid w:val="08A275F2"/>
    <w:rsid w:val="08B21918"/>
    <w:rsid w:val="08B40442"/>
    <w:rsid w:val="08B94847"/>
    <w:rsid w:val="08C14001"/>
    <w:rsid w:val="08D836B6"/>
    <w:rsid w:val="08F5200D"/>
    <w:rsid w:val="08F911CC"/>
    <w:rsid w:val="09016732"/>
    <w:rsid w:val="09127CF4"/>
    <w:rsid w:val="092234B5"/>
    <w:rsid w:val="09226860"/>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B2AFA"/>
    <w:rsid w:val="09CC64B1"/>
    <w:rsid w:val="09CD6A58"/>
    <w:rsid w:val="09CD6EF5"/>
    <w:rsid w:val="09E14486"/>
    <w:rsid w:val="09E4648F"/>
    <w:rsid w:val="09F1407D"/>
    <w:rsid w:val="09F21427"/>
    <w:rsid w:val="0A093274"/>
    <w:rsid w:val="0A145E2C"/>
    <w:rsid w:val="0A1E53EA"/>
    <w:rsid w:val="0A223227"/>
    <w:rsid w:val="0A22459E"/>
    <w:rsid w:val="0A2705E1"/>
    <w:rsid w:val="0A2A6A0B"/>
    <w:rsid w:val="0A2C55D6"/>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4E90"/>
    <w:rsid w:val="0B892782"/>
    <w:rsid w:val="0B936E39"/>
    <w:rsid w:val="0B9C0905"/>
    <w:rsid w:val="0B9D3C6E"/>
    <w:rsid w:val="0B9E13B0"/>
    <w:rsid w:val="0BB02C8B"/>
    <w:rsid w:val="0BB2460A"/>
    <w:rsid w:val="0BB41CFB"/>
    <w:rsid w:val="0BB53F3C"/>
    <w:rsid w:val="0BB77DA2"/>
    <w:rsid w:val="0BC739F0"/>
    <w:rsid w:val="0BD21910"/>
    <w:rsid w:val="0BDA3782"/>
    <w:rsid w:val="0BDB5584"/>
    <w:rsid w:val="0BE03DAA"/>
    <w:rsid w:val="0BE17727"/>
    <w:rsid w:val="0BEC55E4"/>
    <w:rsid w:val="0BF427F9"/>
    <w:rsid w:val="0C017ED4"/>
    <w:rsid w:val="0C0B2ABC"/>
    <w:rsid w:val="0C0C632D"/>
    <w:rsid w:val="0C0F1DC2"/>
    <w:rsid w:val="0C120111"/>
    <w:rsid w:val="0C12447E"/>
    <w:rsid w:val="0C1D0A79"/>
    <w:rsid w:val="0C37145B"/>
    <w:rsid w:val="0C3946F8"/>
    <w:rsid w:val="0C3C0AB0"/>
    <w:rsid w:val="0C424DBA"/>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AD3183"/>
    <w:rsid w:val="0CB471A1"/>
    <w:rsid w:val="0CB90F2E"/>
    <w:rsid w:val="0CBB5A0F"/>
    <w:rsid w:val="0CCD3B1C"/>
    <w:rsid w:val="0CE245F1"/>
    <w:rsid w:val="0CE4001E"/>
    <w:rsid w:val="0CFA6575"/>
    <w:rsid w:val="0D0213CD"/>
    <w:rsid w:val="0D04575D"/>
    <w:rsid w:val="0D0612B8"/>
    <w:rsid w:val="0D066A9C"/>
    <w:rsid w:val="0D0714BC"/>
    <w:rsid w:val="0D0B37A5"/>
    <w:rsid w:val="0D136EF9"/>
    <w:rsid w:val="0D1A52C8"/>
    <w:rsid w:val="0D1C1D16"/>
    <w:rsid w:val="0D21615D"/>
    <w:rsid w:val="0D2454BF"/>
    <w:rsid w:val="0D2767B5"/>
    <w:rsid w:val="0D3E327E"/>
    <w:rsid w:val="0D432A3E"/>
    <w:rsid w:val="0D477ABB"/>
    <w:rsid w:val="0D480AA9"/>
    <w:rsid w:val="0D5800C7"/>
    <w:rsid w:val="0D5B6E86"/>
    <w:rsid w:val="0D604B9B"/>
    <w:rsid w:val="0D660762"/>
    <w:rsid w:val="0D6A353C"/>
    <w:rsid w:val="0D826C81"/>
    <w:rsid w:val="0D904522"/>
    <w:rsid w:val="0D976014"/>
    <w:rsid w:val="0DA060E8"/>
    <w:rsid w:val="0DA57AAE"/>
    <w:rsid w:val="0DB76EF8"/>
    <w:rsid w:val="0DCE36F3"/>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223"/>
    <w:rsid w:val="0E281319"/>
    <w:rsid w:val="0E3217E8"/>
    <w:rsid w:val="0E387AA5"/>
    <w:rsid w:val="0E3F0E9A"/>
    <w:rsid w:val="0E400D03"/>
    <w:rsid w:val="0E485C9B"/>
    <w:rsid w:val="0E5E2B07"/>
    <w:rsid w:val="0E771E51"/>
    <w:rsid w:val="0E796EA0"/>
    <w:rsid w:val="0E7A2A61"/>
    <w:rsid w:val="0E7C0762"/>
    <w:rsid w:val="0E8118C0"/>
    <w:rsid w:val="0E8521ED"/>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A546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5D0C8F"/>
    <w:rsid w:val="0F6145A1"/>
    <w:rsid w:val="0F6A1108"/>
    <w:rsid w:val="0F704CEF"/>
    <w:rsid w:val="0F7514AB"/>
    <w:rsid w:val="0F7C4621"/>
    <w:rsid w:val="0F7D786D"/>
    <w:rsid w:val="0F7E4DAF"/>
    <w:rsid w:val="0F7E6AED"/>
    <w:rsid w:val="0F7F69B0"/>
    <w:rsid w:val="0F80243B"/>
    <w:rsid w:val="0F842AF1"/>
    <w:rsid w:val="0F8E6521"/>
    <w:rsid w:val="0F9A3D44"/>
    <w:rsid w:val="0FA26E81"/>
    <w:rsid w:val="0FA615E1"/>
    <w:rsid w:val="0FA7629F"/>
    <w:rsid w:val="0FAD0019"/>
    <w:rsid w:val="0FAD3299"/>
    <w:rsid w:val="0FB261C9"/>
    <w:rsid w:val="0FB31343"/>
    <w:rsid w:val="0FC12836"/>
    <w:rsid w:val="0FD95333"/>
    <w:rsid w:val="0FEB5E2E"/>
    <w:rsid w:val="0FEC322B"/>
    <w:rsid w:val="0FEC6EF6"/>
    <w:rsid w:val="10045EE6"/>
    <w:rsid w:val="100779E4"/>
    <w:rsid w:val="100C1580"/>
    <w:rsid w:val="100D3B17"/>
    <w:rsid w:val="10154FE6"/>
    <w:rsid w:val="1023666E"/>
    <w:rsid w:val="1035409F"/>
    <w:rsid w:val="1035503C"/>
    <w:rsid w:val="1037078D"/>
    <w:rsid w:val="103806C3"/>
    <w:rsid w:val="103A7991"/>
    <w:rsid w:val="104052A4"/>
    <w:rsid w:val="10413A4E"/>
    <w:rsid w:val="10462479"/>
    <w:rsid w:val="104B2D15"/>
    <w:rsid w:val="10510B97"/>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3708A"/>
    <w:rsid w:val="11457D8C"/>
    <w:rsid w:val="11461F96"/>
    <w:rsid w:val="114C30BA"/>
    <w:rsid w:val="114C3CA8"/>
    <w:rsid w:val="114D3A1D"/>
    <w:rsid w:val="11562BF2"/>
    <w:rsid w:val="11576536"/>
    <w:rsid w:val="11607F73"/>
    <w:rsid w:val="11613A1B"/>
    <w:rsid w:val="11703DE0"/>
    <w:rsid w:val="117561EB"/>
    <w:rsid w:val="117824F0"/>
    <w:rsid w:val="117E2370"/>
    <w:rsid w:val="117F73E6"/>
    <w:rsid w:val="11800455"/>
    <w:rsid w:val="11847341"/>
    <w:rsid w:val="11996649"/>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A60BB"/>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EF6A10"/>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904A6"/>
    <w:rsid w:val="135845C3"/>
    <w:rsid w:val="135F5E4E"/>
    <w:rsid w:val="136F1609"/>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C36E2"/>
    <w:rsid w:val="13F22B81"/>
    <w:rsid w:val="13FD4FCC"/>
    <w:rsid w:val="13FD507E"/>
    <w:rsid w:val="13FE285E"/>
    <w:rsid w:val="1410395F"/>
    <w:rsid w:val="1415740A"/>
    <w:rsid w:val="141624C3"/>
    <w:rsid w:val="14220CA7"/>
    <w:rsid w:val="14283553"/>
    <w:rsid w:val="142E6CAD"/>
    <w:rsid w:val="143802F8"/>
    <w:rsid w:val="144442DA"/>
    <w:rsid w:val="144C6544"/>
    <w:rsid w:val="146725BA"/>
    <w:rsid w:val="14812D74"/>
    <w:rsid w:val="14836C15"/>
    <w:rsid w:val="14862300"/>
    <w:rsid w:val="148C00A0"/>
    <w:rsid w:val="148D3653"/>
    <w:rsid w:val="149E0A7B"/>
    <w:rsid w:val="14A82A63"/>
    <w:rsid w:val="14A86EA4"/>
    <w:rsid w:val="14AC358C"/>
    <w:rsid w:val="14AD005A"/>
    <w:rsid w:val="14B05B11"/>
    <w:rsid w:val="14B76730"/>
    <w:rsid w:val="14C52D65"/>
    <w:rsid w:val="14C767C8"/>
    <w:rsid w:val="14DE753E"/>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A80FDC"/>
    <w:rsid w:val="15AA7A19"/>
    <w:rsid w:val="15AC5259"/>
    <w:rsid w:val="15AE02B1"/>
    <w:rsid w:val="15AE0E2E"/>
    <w:rsid w:val="15AE46FA"/>
    <w:rsid w:val="15AE5475"/>
    <w:rsid w:val="15B06B12"/>
    <w:rsid w:val="15B75136"/>
    <w:rsid w:val="15BE3D9D"/>
    <w:rsid w:val="15C3449A"/>
    <w:rsid w:val="15C61DCD"/>
    <w:rsid w:val="15D4474D"/>
    <w:rsid w:val="15D7597F"/>
    <w:rsid w:val="160C437B"/>
    <w:rsid w:val="161033BE"/>
    <w:rsid w:val="16160429"/>
    <w:rsid w:val="161C3234"/>
    <w:rsid w:val="16291F21"/>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3E09"/>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3072E"/>
    <w:rsid w:val="17595246"/>
    <w:rsid w:val="175E4288"/>
    <w:rsid w:val="175F6489"/>
    <w:rsid w:val="17652ACF"/>
    <w:rsid w:val="176C704A"/>
    <w:rsid w:val="177653C5"/>
    <w:rsid w:val="17844C56"/>
    <w:rsid w:val="179559A6"/>
    <w:rsid w:val="17957384"/>
    <w:rsid w:val="17A063A2"/>
    <w:rsid w:val="17A30F12"/>
    <w:rsid w:val="17B80B51"/>
    <w:rsid w:val="17BA48D6"/>
    <w:rsid w:val="17C0378A"/>
    <w:rsid w:val="17C535A1"/>
    <w:rsid w:val="17CC1D1C"/>
    <w:rsid w:val="17CD5EE0"/>
    <w:rsid w:val="17D47D7C"/>
    <w:rsid w:val="17D664AA"/>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5944E5"/>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22E4B"/>
    <w:rsid w:val="18C9246D"/>
    <w:rsid w:val="18CC75E7"/>
    <w:rsid w:val="18CF0995"/>
    <w:rsid w:val="18D979C0"/>
    <w:rsid w:val="18DE1E44"/>
    <w:rsid w:val="18E67034"/>
    <w:rsid w:val="18E872D7"/>
    <w:rsid w:val="18EA68A3"/>
    <w:rsid w:val="18F06558"/>
    <w:rsid w:val="18F3471F"/>
    <w:rsid w:val="18F931E6"/>
    <w:rsid w:val="18FA042B"/>
    <w:rsid w:val="18FE4771"/>
    <w:rsid w:val="19046384"/>
    <w:rsid w:val="190606BF"/>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01C86"/>
    <w:rsid w:val="19D76F77"/>
    <w:rsid w:val="19DE7440"/>
    <w:rsid w:val="19ED386F"/>
    <w:rsid w:val="19FF1298"/>
    <w:rsid w:val="1A045B87"/>
    <w:rsid w:val="1A210157"/>
    <w:rsid w:val="1A375C65"/>
    <w:rsid w:val="1A484A02"/>
    <w:rsid w:val="1A4D1CE1"/>
    <w:rsid w:val="1A5760FC"/>
    <w:rsid w:val="1A5B0C0F"/>
    <w:rsid w:val="1A5F7253"/>
    <w:rsid w:val="1A6A0EEA"/>
    <w:rsid w:val="1A6D19F8"/>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94DE0"/>
    <w:rsid w:val="1B2A7E36"/>
    <w:rsid w:val="1B2F42C3"/>
    <w:rsid w:val="1B324397"/>
    <w:rsid w:val="1B372EB9"/>
    <w:rsid w:val="1B39636C"/>
    <w:rsid w:val="1B40005E"/>
    <w:rsid w:val="1B4268B4"/>
    <w:rsid w:val="1B427936"/>
    <w:rsid w:val="1B5D3106"/>
    <w:rsid w:val="1B6A3AB8"/>
    <w:rsid w:val="1B752AFF"/>
    <w:rsid w:val="1B7906CE"/>
    <w:rsid w:val="1B7D07F3"/>
    <w:rsid w:val="1B831B2B"/>
    <w:rsid w:val="1B944685"/>
    <w:rsid w:val="1BA258AE"/>
    <w:rsid w:val="1BA57F07"/>
    <w:rsid w:val="1BAA3251"/>
    <w:rsid w:val="1BAA3905"/>
    <w:rsid w:val="1BB01F6E"/>
    <w:rsid w:val="1BB81DD8"/>
    <w:rsid w:val="1BB848C7"/>
    <w:rsid w:val="1BB86F3A"/>
    <w:rsid w:val="1BCA7505"/>
    <w:rsid w:val="1BD91032"/>
    <w:rsid w:val="1BEF7D4B"/>
    <w:rsid w:val="1BF768CD"/>
    <w:rsid w:val="1BF92025"/>
    <w:rsid w:val="1BF930E9"/>
    <w:rsid w:val="1BF9326D"/>
    <w:rsid w:val="1C036FDA"/>
    <w:rsid w:val="1C0730F3"/>
    <w:rsid w:val="1C08111C"/>
    <w:rsid w:val="1C0B33CB"/>
    <w:rsid w:val="1C0D0258"/>
    <w:rsid w:val="1C0D60C9"/>
    <w:rsid w:val="1C191CF6"/>
    <w:rsid w:val="1C206F70"/>
    <w:rsid w:val="1C33796F"/>
    <w:rsid w:val="1C341EE3"/>
    <w:rsid w:val="1C383836"/>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779F4"/>
    <w:rsid w:val="1CD97139"/>
    <w:rsid w:val="1CE13063"/>
    <w:rsid w:val="1CE2616E"/>
    <w:rsid w:val="1CF333A5"/>
    <w:rsid w:val="1D023336"/>
    <w:rsid w:val="1D031DDA"/>
    <w:rsid w:val="1D0B731D"/>
    <w:rsid w:val="1D1D6A68"/>
    <w:rsid w:val="1D1F1D0C"/>
    <w:rsid w:val="1D2054C4"/>
    <w:rsid w:val="1D24658B"/>
    <w:rsid w:val="1D2E77E8"/>
    <w:rsid w:val="1D484E8B"/>
    <w:rsid w:val="1D4969F4"/>
    <w:rsid w:val="1D4C117F"/>
    <w:rsid w:val="1D513E68"/>
    <w:rsid w:val="1D563E2F"/>
    <w:rsid w:val="1D5A17CD"/>
    <w:rsid w:val="1D6033FE"/>
    <w:rsid w:val="1D6115BF"/>
    <w:rsid w:val="1D684015"/>
    <w:rsid w:val="1D6B5F47"/>
    <w:rsid w:val="1D6F79AF"/>
    <w:rsid w:val="1D7C6E19"/>
    <w:rsid w:val="1D8F5B72"/>
    <w:rsid w:val="1D8F6826"/>
    <w:rsid w:val="1D9C5DA0"/>
    <w:rsid w:val="1D9C7126"/>
    <w:rsid w:val="1D9F462B"/>
    <w:rsid w:val="1DA265B5"/>
    <w:rsid w:val="1DB26ED0"/>
    <w:rsid w:val="1DB835A9"/>
    <w:rsid w:val="1DC603E1"/>
    <w:rsid w:val="1DEC45ED"/>
    <w:rsid w:val="1DF2745E"/>
    <w:rsid w:val="1E093D7D"/>
    <w:rsid w:val="1E1D7E95"/>
    <w:rsid w:val="1E201A27"/>
    <w:rsid w:val="1E224747"/>
    <w:rsid w:val="1E304B88"/>
    <w:rsid w:val="1E3E02E7"/>
    <w:rsid w:val="1E636BDB"/>
    <w:rsid w:val="1E6703B7"/>
    <w:rsid w:val="1E680B85"/>
    <w:rsid w:val="1E6B2336"/>
    <w:rsid w:val="1E6F643A"/>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F0D14F3"/>
    <w:rsid w:val="1F141EF2"/>
    <w:rsid w:val="1F257918"/>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F03BE"/>
    <w:rsid w:val="1FF05FBA"/>
    <w:rsid w:val="1FF2649D"/>
    <w:rsid w:val="2000119F"/>
    <w:rsid w:val="20007200"/>
    <w:rsid w:val="20023827"/>
    <w:rsid w:val="200D53BE"/>
    <w:rsid w:val="20107ED3"/>
    <w:rsid w:val="201359DF"/>
    <w:rsid w:val="20140382"/>
    <w:rsid w:val="201C304F"/>
    <w:rsid w:val="201C690F"/>
    <w:rsid w:val="20275ED1"/>
    <w:rsid w:val="203B1416"/>
    <w:rsid w:val="203C2005"/>
    <w:rsid w:val="203F4B6D"/>
    <w:rsid w:val="20420995"/>
    <w:rsid w:val="20447B3E"/>
    <w:rsid w:val="204D7AED"/>
    <w:rsid w:val="204F595B"/>
    <w:rsid w:val="206301A7"/>
    <w:rsid w:val="20642E89"/>
    <w:rsid w:val="2067334B"/>
    <w:rsid w:val="206F7CD5"/>
    <w:rsid w:val="207778B9"/>
    <w:rsid w:val="207E34E5"/>
    <w:rsid w:val="208043BA"/>
    <w:rsid w:val="20850EC1"/>
    <w:rsid w:val="20911227"/>
    <w:rsid w:val="20934FE0"/>
    <w:rsid w:val="209A17A4"/>
    <w:rsid w:val="209E715A"/>
    <w:rsid w:val="20A70ABE"/>
    <w:rsid w:val="20B5780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667B9"/>
    <w:rsid w:val="20F90A4D"/>
    <w:rsid w:val="20FB7568"/>
    <w:rsid w:val="21045C29"/>
    <w:rsid w:val="21065641"/>
    <w:rsid w:val="210D2CDA"/>
    <w:rsid w:val="211C7EF8"/>
    <w:rsid w:val="211E7042"/>
    <w:rsid w:val="212109E5"/>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D63FC"/>
    <w:rsid w:val="2292788B"/>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77B0F"/>
    <w:rsid w:val="230B07F6"/>
    <w:rsid w:val="23143B37"/>
    <w:rsid w:val="231544D3"/>
    <w:rsid w:val="2315496B"/>
    <w:rsid w:val="231637F9"/>
    <w:rsid w:val="23230E78"/>
    <w:rsid w:val="232A7369"/>
    <w:rsid w:val="232C27B2"/>
    <w:rsid w:val="232C343E"/>
    <w:rsid w:val="232E7AA0"/>
    <w:rsid w:val="232F4B8E"/>
    <w:rsid w:val="233027B0"/>
    <w:rsid w:val="23415924"/>
    <w:rsid w:val="23464C52"/>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57592"/>
    <w:rsid w:val="23BD6F6C"/>
    <w:rsid w:val="23C62FD3"/>
    <w:rsid w:val="23C80F4A"/>
    <w:rsid w:val="23CE5D21"/>
    <w:rsid w:val="23D160BB"/>
    <w:rsid w:val="23D33566"/>
    <w:rsid w:val="23D9762E"/>
    <w:rsid w:val="23DF2C6B"/>
    <w:rsid w:val="23E066D4"/>
    <w:rsid w:val="23E52298"/>
    <w:rsid w:val="23F06611"/>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D75C1"/>
    <w:rsid w:val="24731A96"/>
    <w:rsid w:val="247A5C3A"/>
    <w:rsid w:val="247C5EE2"/>
    <w:rsid w:val="247C7B9E"/>
    <w:rsid w:val="247F6CC6"/>
    <w:rsid w:val="24837A35"/>
    <w:rsid w:val="248654B3"/>
    <w:rsid w:val="2488486E"/>
    <w:rsid w:val="248907B2"/>
    <w:rsid w:val="249A5E20"/>
    <w:rsid w:val="249C2676"/>
    <w:rsid w:val="249C6208"/>
    <w:rsid w:val="249E39E8"/>
    <w:rsid w:val="24A20ED0"/>
    <w:rsid w:val="24A34E4A"/>
    <w:rsid w:val="24AC41BF"/>
    <w:rsid w:val="24B04694"/>
    <w:rsid w:val="24B279F7"/>
    <w:rsid w:val="24B93780"/>
    <w:rsid w:val="24BD38BA"/>
    <w:rsid w:val="24C0685F"/>
    <w:rsid w:val="24CD6DBE"/>
    <w:rsid w:val="24D20A06"/>
    <w:rsid w:val="24D51CDF"/>
    <w:rsid w:val="24E57853"/>
    <w:rsid w:val="24EE1731"/>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5E0ED2"/>
    <w:rsid w:val="256343AC"/>
    <w:rsid w:val="256B33EB"/>
    <w:rsid w:val="25771B32"/>
    <w:rsid w:val="257C1A72"/>
    <w:rsid w:val="257F18B5"/>
    <w:rsid w:val="25805FF5"/>
    <w:rsid w:val="258A3283"/>
    <w:rsid w:val="258E66DC"/>
    <w:rsid w:val="258F15BB"/>
    <w:rsid w:val="259231BD"/>
    <w:rsid w:val="25A77DD4"/>
    <w:rsid w:val="25AE0C1E"/>
    <w:rsid w:val="25BB6C64"/>
    <w:rsid w:val="25BF76E6"/>
    <w:rsid w:val="25C87522"/>
    <w:rsid w:val="25C97301"/>
    <w:rsid w:val="25CC4C1C"/>
    <w:rsid w:val="25CD7961"/>
    <w:rsid w:val="25D36B66"/>
    <w:rsid w:val="25D64403"/>
    <w:rsid w:val="25EB7CD4"/>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15C21"/>
    <w:rsid w:val="26D323BB"/>
    <w:rsid w:val="26D45590"/>
    <w:rsid w:val="26F40E3F"/>
    <w:rsid w:val="26F40EBD"/>
    <w:rsid w:val="26F85687"/>
    <w:rsid w:val="26FA2DE3"/>
    <w:rsid w:val="26FF74CD"/>
    <w:rsid w:val="27125B0D"/>
    <w:rsid w:val="27130E1A"/>
    <w:rsid w:val="27170D5D"/>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B02558"/>
    <w:rsid w:val="27B03EC1"/>
    <w:rsid w:val="27B91021"/>
    <w:rsid w:val="27C06D17"/>
    <w:rsid w:val="27C50162"/>
    <w:rsid w:val="27C66099"/>
    <w:rsid w:val="27CA7CDA"/>
    <w:rsid w:val="27CD00C4"/>
    <w:rsid w:val="27D23514"/>
    <w:rsid w:val="27FE4240"/>
    <w:rsid w:val="280008FF"/>
    <w:rsid w:val="28050D91"/>
    <w:rsid w:val="281035C6"/>
    <w:rsid w:val="28140E2A"/>
    <w:rsid w:val="28255041"/>
    <w:rsid w:val="283832F0"/>
    <w:rsid w:val="283A1E3E"/>
    <w:rsid w:val="284543A1"/>
    <w:rsid w:val="28553E1D"/>
    <w:rsid w:val="28693318"/>
    <w:rsid w:val="286B3B61"/>
    <w:rsid w:val="28765DD5"/>
    <w:rsid w:val="28784E96"/>
    <w:rsid w:val="28821314"/>
    <w:rsid w:val="288E3A40"/>
    <w:rsid w:val="2891501A"/>
    <w:rsid w:val="28937E6D"/>
    <w:rsid w:val="28A66523"/>
    <w:rsid w:val="28AD2029"/>
    <w:rsid w:val="28AE4FA7"/>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4634A"/>
    <w:rsid w:val="29A84DD1"/>
    <w:rsid w:val="29AA2390"/>
    <w:rsid w:val="29B85AFC"/>
    <w:rsid w:val="29BB74AF"/>
    <w:rsid w:val="29BC2AA4"/>
    <w:rsid w:val="29CA5A7A"/>
    <w:rsid w:val="29CD2270"/>
    <w:rsid w:val="29D22D87"/>
    <w:rsid w:val="29DA58FD"/>
    <w:rsid w:val="29DB020F"/>
    <w:rsid w:val="29E64370"/>
    <w:rsid w:val="29E765AE"/>
    <w:rsid w:val="29EB2636"/>
    <w:rsid w:val="29ED4F50"/>
    <w:rsid w:val="29F04E1A"/>
    <w:rsid w:val="29F26903"/>
    <w:rsid w:val="2A06427E"/>
    <w:rsid w:val="2A0F1A72"/>
    <w:rsid w:val="2A0F7591"/>
    <w:rsid w:val="2A13176E"/>
    <w:rsid w:val="2A216713"/>
    <w:rsid w:val="2A220953"/>
    <w:rsid w:val="2A222BC6"/>
    <w:rsid w:val="2A3B063B"/>
    <w:rsid w:val="2A41662D"/>
    <w:rsid w:val="2A453949"/>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AF00D7"/>
    <w:rsid w:val="2AB04937"/>
    <w:rsid w:val="2AB86677"/>
    <w:rsid w:val="2ABC2E55"/>
    <w:rsid w:val="2AC90132"/>
    <w:rsid w:val="2ACF5AEC"/>
    <w:rsid w:val="2AD62AB0"/>
    <w:rsid w:val="2ADB25B4"/>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177D8"/>
    <w:rsid w:val="2BC941AF"/>
    <w:rsid w:val="2BDC02CD"/>
    <w:rsid w:val="2BE64A3E"/>
    <w:rsid w:val="2BEC4F7F"/>
    <w:rsid w:val="2BF01DD3"/>
    <w:rsid w:val="2BF51B27"/>
    <w:rsid w:val="2C11705A"/>
    <w:rsid w:val="2C1216FD"/>
    <w:rsid w:val="2C15768E"/>
    <w:rsid w:val="2C1D0F3B"/>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38D6"/>
    <w:rsid w:val="2C865A05"/>
    <w:rsid w:val="2C8B0557"/>
    <w:rsid w:val="2C9A28D3"/>
    <w:rsid w:val="2CBC4209"/>
    <w:rsid w:val="2CC12D54"/>
    <w:rsid w:val="2CC9742A"/>
    <w:rsid w:val="2CCB3003"/>
    <w:rsid w:val="2CDA4FDA"/>
    <w:rsid w:val="2CDC7091"/>
    <w:rsid w:val="2CE128DC"/>
    <w:rsid w:val="2CE16D71"/>
    <w:rsid w:val="2CF4201A"/>
    <w:rsid w:val="2CFD5C64"/>
    <w:rsid w:val="2D0128E8"/>
    <w:rsid w:val="2D0450C7"/>
    <w:rsid w:val="2D07248F"/>
    <w:rsid w:val="2D0C5A2F"/>
    <w:rsid w:val="2D0E231B"/>
    <w:rsid w:val="2D145154"/>
    <w:rsid w:val="2D1A1A6B"/>
    <w:rsid w:val="2D1A4915"/>
    <w:rsid w:val="2D306B85"/>
    <w:rsid w:val="2D323D75"/>
    <w:rsid w:val="2D400A9F"/>
    <w:rsid w:val="2D540857"/>
    <w:rsid w:val="2D590555"/>
    <w:rsid w:val="2D726428"/>
    <w:rsid w:val="2D797F75"/>
    <w:rsid w:val="2D7A06F1"/>
    <w:rsid w:val="2D8151A4"/>
    <w:rsid w:val="2DA02E9C"/>
    <w:rsid w:val="2DBB1852"/>
    <w:rsid w:val="2DBF0C3E"/>
    <w:rsid w:val="2DBF1601"/>
    <w:rsid w:val="2DBF4C3A"/>
    <w:rsid w:val="2DC464AC"/>
    <w:rsid w:val="2DD06AF3"/>
    <w:rsid w:val="2DD9489D"/>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34140"/>
    <w:rsid w:val="2E2630D7"/>
    <w:rsid w:val="2E2806DD"/>
    <w:rsid w:val="2E2A4425"/>
    <w:rsid w:val="2E2F3046"/>
    <w:rsid w:val="2E302808"/>
    <w:rsid w:val="2E3A3030"/>
    <w:rsid w:val="2E3C084B"/>
    <w:rsid w:val="2E46069F"/>
    <w:rsid w:val="2E5608F9"/>
    <w:rsid w:val="2E59206F"/>
    <w:rsid w:val="2E6B29AA"/>
    <w:rsid w:val="2E6F4813"/>
    <w:rsid w:val="2E705752"/>
    <w:rsid w:val="2E7622E7"/>
    <w:rsid w:val="2E7A5E34"/>
    <w:rsid w:val="2E7B65BB"/>
    <w:rsid w:val="2E80452A"/>
    <w:rsid w:val="2E855C37"/>
    <w:rsid w:val="2E8863A8"/>
    <w:rsid w:val="2E8F09A4"/>
    <w:rsid w:val="2E906F65"/>
    <w:rsid w:val="2E993370"/>
    <w:rsid w:val="2E9A086A"/>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5C02"/>
    <w:rsid w:val="2F2960CC"/>
    <w:rsid w:val="2F2F3D52"/>
    <w:rsid w:val="2F3B7B8B"/>
    <w:rsid w:val="2F44254B"/>
    <w:rsid w:val="2F4530B9"/>
    <w:rsid w:val="2F4B7821"/>
    <w:rsid w:val="2F526911"/>
    <w:rsid w:val="2F5741FD"/>
    <w:rsid w:val="2F57587A"/>
    <w:rsid w:val="2F5E1A24"/>
    <w:rsid w:val="2F615954"/>
    <w:rsid w:val="2F712CF7"/>
    <w:rsid w:val="2F805714"/>
    <w:rsid w:val="2F8640C4"/>
    <w:rsid w:val="2F8E5F5C"/>
    <w:rsid w:val="2F921FAC"/>
    <w:rsid w:val="2FA21231"/>
    <w:rsid w:val="2FAD4759"/>
    <w:rsid w:val="2FAD5866"/>
    <w:rsid w:val="2FCA0967"/>
    <w:rsid w:val="2FD84674"/>
    <w:rsid w:val="2FDB17E1"/>
    <w:rsid w:val="2FE20568"/>
    <w:rsid w:val="2FE37171"/>
    <w:rsid w:val="2FF117AD"/>
    <w:rsid w:val="2FF17999"/>
    <w:rsid w:val="2FF40BAE"/>
    <w:rsid w:val="2FF95633"/>
    <w:rsid w:val="30010F70"/>
    <w:rsid w:val="300F7F13"/>
    <w:rsid w:val="30151A88"/>
    <w:rsid w:val="301E3C00"/>
    <w:rsid w:val="30261D90"/>
    <w:rsid w:val="302757BF"/>
    <w:rsid w:val="302E1CAD"/>
    <w:rsid w:val="303F616B"/>
    <w:rsid w:val="3045713F"/>
    <w:rsid w:val="30486EA7"/>
    <w:rsid w:val="30500A5C"/>
    <w:rsid w:val="30591DCA"/>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B103C"/>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9268E9"/>
    <w:rsid w:val="319B3834"/>
    <w:rsid w:val="319D6381"/>
    <w:rsid w:val="31A53A0B"/>
    <w:rsid w:val="31A7307B"/>
    <w:rsid w:val="31A94576"/>
    <w:rsid w:val="31A96744"/>
    <w:rsid w:val="31AC2EA3"/>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11979"/>
    <w:rsid w:val="331747E7"/>
    <w:rsid w:val="331B37C6"/>
    <w:rsid w:val="331C390F"/>
    <w:rsid w:val="331E16E2"/>
    <w:rsid w:val="333A0536"/>
    <w:rsid w:val="333E0FE1"/>
    <w:rsid w:val="334D7767"/>
    <w:rsid w:val="33610DDA"/>
    <w:rsid w:val="3362171F"/>
    <w:rsid w:val="3366319E"/>
    <w:rsid w:val="336C2B69"/>
    <w:rsid w:val="33713BB5"/>
    <w:rsid w:val="33767D1F"/>
    <w:rsid w:val="337F446B"/>
    <w:rsid w:val="338E29B0"/>
    <w:rsid w:val="33924A39"/>
    <w:rsid w:val="339902E6"/>
    <w:rsid w:val="339D35FC"/>
    <w:rsid w:val="33A156DE"/>
    <w:rsid w:val="33B52233"/>
    <w:rsid w:val="33B70359"/>
    <w:rsid w:val="33BA1B32"/>
    <w:rsid w:val="33C462B3"/>
    <w:rsid w:val="33CB205A"/>
    <w:rsid w:val="33D451B9"/>
    <w:rsid w:val="33E20DF0"/>
    <w:rsid w:val="33E570DD"/>
    <w:rsid w:val="33EE5E44"/>
    <w:rsid w:val="33F81D16"/>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BD5D3B"/>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1235A"/>
    <w:rsid w:val="36A312B2"/>
    <w:rsid w:val="36A9265A"/>
    <w:rsid w:val="36B121C7"/>
    <w:rsid w:val="36B2486C"/>
    <w:rsid w:val="36BA14F4"/>
    <w:rsid w:val="36CE474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835A2"/>
    <w:rsid w:val="37AE534B"/>
    <w:rsid w:val="37B1214B"/>
    <w:rsid w:val="37B5292C"/>
    <w:rsid w:val="37BA6351"/>
    <w:rsid w:val="37C93B72"/>
    <w:rsid w:val="37D41B48"/>
    <w:rsid w:val="37D644F2"/>
    <w:rsid w:val="37E22653"/>
    <w:rsid w:val="37ED5E3A"/>
    <w:rsid w:val="37EF1B98"/>
    <w:rsid w:val="37F311D3"/>
    <w:rsid w:val="37F7242F"/>
    <w:rsid w:val="37FD1EC6"/>
    <w:rsid w:val="380579FE"/>
    <w:rsid w:val="380A2EB4"/>
    <w:rsid w:val="38157509"/>
    <w:rsid w:val="381D5340"/>
    <w:rsid w:val="382150C9"/>
    <w:rsid w:val="382245EF"/>
    <w:rsid w:val="382372FE"/>
    <w:rsid w:val="382404A9"/>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9C2326"/>
    <w:rsid w:val="38A30506"/>
    <w:rsid w:val="38A40C18"/>
    <w:rsid w:val="38A61C5A"/>
    <w:rsid w:val="38AB306B"/>
    <w:rsid w:val="38B93B38"/>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C45FD"/>
    <w:rsid w:val="3AB26A14"/>
    <w:rsid w:val="3AB94248"/>
    <w:rsid w:val="3ABE76C3"/>
    <w:rsid w:val="3ABF42F5"/>
    <w:rsid w:val="3ACE7D16"/>
    <w:rsid w:val="3ACF7498"/>
    <w:rsid w:val="3AD73D23"/>
    <w:rsid w:val="3AF932C9"/>
    <w:rsid w:val="3AFD37D0"/>
    <w:rsid w:val="3B016EE9"/>
    <w:rsid w:val="3B075C4E"/>
    <w:rsid w:val="3B0C7A7D"/>
    <w:rsid w:val="3B0D67FF"/>
    <w:rsid w:val="3B0E6B93"/>
    <w:rsid w:val="3B124124"/>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50B78"/>
    <w:rsid w:val="3B873119"/>
    <w:rsid w:val="3B936EB8"/>
    <w:rsid w:val="3B9C2663"/>
    <w:rsid w:val="3B9C285E"/>
    <w:rsid w:val="3BA17E84"/>
    <w:rsid w:val="3BA35FC1"/>
    <w:rsid w:val="3BA566FD"/>
    <w:rsid w:val="3BA7008A"/>
    <w:rsid w:val="3BB47D9F"/>
    <w:rsid w:val="3BD039A1"/>
    <w:rsid w:val="3BDE5F43"/>
    <w:rsid w:val="3BE4217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374A7"/>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A469F"/>
    <w:rsid w:val="3CBA78F5"/>
    <w:rsid w:val="3CBF7818"/>
    <w:rsid w:val="3CC26B63"/>
    <w:rsid w:val="3CCC4D4D"/>
    <w:rsid w:val="3CD71E34"/>
    <w:rsid w:val="3CD93A3D"/>
    <w:rsid w:val="3CDB5D82"/>
    <w:rsid w:val="3CDE394C"/>
    <w:rsid w:val="3CE54B9F"/>
    <w:rsid w:val="3CE86761"/>
    <w:rsid w:val="3CF50290"/>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06F4"/>
    <w:rsid w:val="3D641D7A"/>
    <w:rsid w:val="3D7618FA"/>
    <w:rsid w:val="3D766E42"/>
    <w:rsid w:val="3D791797"/>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5E58EC"/>
    <w:rsid w:val="3E623E46"/>
    <w:rsid w:val="3E63159D"/>
    <w:rsid w:val="3E680BF1"/>
    <w:rsid w:val="3E7A1C88"/>
    <w:rsid w:val="3E8B095A"/>
    <w:rsid w:val="3E8D66A1"/>
    <w:rsid w:val="3E8E6C82"/>
    <w:rsid w:val="3E942719"/>
    <w:rsid w:val="3E943FDD"/>
    <w:rsid w:val="3E9A19C5"/>
    <w:rsid w:val="3E9E1F00"/>
    <w:rsid w:val="3E9E3078"/>
    <w:rsid w:val="3E9F64DF"/>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B184D"/>
    <w:rsid w:val="3F2C7646"/>
    <w:rsid w:val="3F421D47"/>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8F2831"/>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7928CE"/>
    <w:rsid w:val="42831021"/>
    <w:rsid w:val="42863926"/>
    <w:rsid w:val="4287026E"/>
    <w:rsid w:val="42873CB7"/>
    <w:rsid w:val="429110B8"/>
    <w:rsid w:val="4295760D"/>
    <w:rsid w:val="429A29B1"/>
    <w:rsid w:val="429C1606"/>
    <w:rsid w:val="42A87389"/>
    <w:rsid w:val="42B63D6B"/>
    <w:rsid w:val="42C5796D"/>
    <w:rsid w:val="42D67001"/>
    <w:rsid w:val="42E06A10"/>
    <w:rsid w:val="42E5301E"/>
    <w:rsid w:val="42F875D5"/>
    <w:rsid w:val="430A5FFD"/>
    <w:rsid w:val="43112BE5"/>
    <w:rsid w:val="43120C73"/>
    <w:rsid w:val="431B56C6"/>
    <w:rsid w:val="431C7B04"/>
    <w:rsid w:val="432466AA"/>
    <w:rsid w:val="432E5E21"/>
    <w:rsid w:val="432E70AA"/>
    <w:rsid w:val="4334749B"/>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0394C"/>
    <w:rsid w:val="43E21F58"/>
    <w:rsid w:val="43E35EF0"/>
    <w:rsid w:val="43F76F69"/>
    <w:rsid w:val="43F90FED"/>
    <w:rsid w:val="43FC0DB2"/>
    <w:rsid w:val="44095B4D"/>
    <w:rsid w:val="440C5D56"/>
    <w:rsid w:val="44153F0C"/>
    <w:rsid w:val="44174583"/>
    <w:rsid w:val="441A5200"/>
    <w:rsid w:val="4425456D"/>
    <w:rsid w:val="442C260B"/>
    <w:rsid w:val="44336EAB"/>
    <w:rsid w:val="44393BD3"/>
    <w:rsid w:val="443D753E"/>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4FE18BE"/>
    <w:rsid w:val="45172E5B"/>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6678A"/>
    <w:rsid w:val="460D3781"/>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94106"/>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292BE0"/>
    <w:rsid w:val="47333B1B"/>
    <w:rsid w:val="47351654"/>
    <w:rsid w:val="473D0BD8"/>
    <w:rsid w:val="47457188"/>
    <w:rsid w:val="47644CFB"/>
    <w:rsid w:val="47666951"/>
    <w:rsid w:val="47683159"/>
    <w:rsid w:val="476A7D07"/>
    <w:rsid w:val="479766B4"/>
    <w:rsid w:val="479A472B"/>
    <w:rsid w:val="479D7800"/>
    <w:rsid w:val="47A240A4"/>
    <w:rsid w:val="47AA1593"/>
    <w:rsid w:val="47B44BED"/>
    <w:rsid w:val="47B9544C"/>
    <w:rsid w:val="47BC3466"/>
    <w:rsid w:val="47D730B6"/>
    <w:rsid w:val="47DD6A91"/>
    <w:rsid w:val="47E62C82"/>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EA1280"/>
    <w:rsid w:val="4A0573EC"/>
    <w:rsid w:val="4A06116C"/>
    <w:rsid w:val="4A070E8E"/>
    <w:rsid w:val="4A09499E"/>
    <w:rsid w:val="4A2E7749"/>
    <w:rsid w:val="4A381BA6"/>
    <w:rsid w:val="4A3926E2"/>
    <w:rsid w:val="4A4172CE"/>
    <w:rsid w:val="4A43236C"/>
    <w:rsid w:val="4A4379D2"/>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E0796F"/>
    <w:rsid w:val="4AE30444"/>
    <w:rsid w:val="4AF902F5"/>
    <w:rsid w:val="4AF94D42"/>
    <w:rsid w:val="4B0107DC"/>
    <w:rsid w:val="4B182117"/>
    <w:rsid w:val="4B205D7D"/>
    <w:rsid w:val="4B28587C"/>
    <w:rsid w:val="4B292683"/>
    <w:rsid w:val="4B294C7C"/>
    <w:rsid w:val="4B376E2E"/>
    <w:rsid w:val="4B385AE2"/>
    <w:rsid w:val="4B3D5656"/>
    <w:rsid w:val="4B3F4861"/>
    <w:rsid w:val="4B4C459F"/>
    <w:rsid w:val="4B50566A"/>
    <w:rsid w:val="4B507F42"/>
    <w:rsid w:val="4B53122B"/>
    <w:rsid w:val="4B571002"/>
    <w:rsid w:val="4B5912E9"/>
    <w:rsid w:val="4B5D1DDE"/>
    <w:rsid w:val="4B683C6A"/>
    <w:rsid w:val="4B705844"/>
    <w:rsid w:val="4B7224D0"/>
    <w:rsid w:val="4B731C20"/>
    <w:rsid w:val="4B774607"/>
    <w:rsid w:val="4B7A3C96"/>
    <w:rsid w:val="4B7D4F5D"/>
    <w:rsid w:val="4B814B45"/>
    <w:rsid w:val="4B82716C"/>
    <w:rsid w:val="4B857EC6"/>
    <w:rsid w:val="4B8829C1"/>
    <w:rsid w:val="4B8A2918"/>
    <w:rsid w:val="4B901807"/>
    <w:rsid w:val="4B9B25E4"/>
    <w:rsid w:val="4B9E314D"/>
    <w:rsid w:val="4BAD4CA2"/>
    <w:rsid w:val="4BC456EF"/>
    <w:rsid w:val="4BC647B0"/>
    <w:rsid w:val="4BCB1BAE"/>
    <w:rsid w:val="4BD84388"/>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0325D"/>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87B98"/>
    <w:rsid w:val="4D1D6CA0"/>
    <w:rsid w:val="4D2609C6"/>
    <w:rsid w:val="4D2A2C09"/>
    <w:rsid w:val="4D2F5C2A"/>
    <w:rsid w:val="4D33448A"/>
    <w:rsid w:val="4D3F4840"/>
    <w:rsid w:val="4D410392"/>
    <w:rsid w:val="4D422D07"/>
    <w:rsid w:val="4D427BBD"/>
    <w:rsid w:val="4D570519"/>
    <w:rsid w:val="4D5A2B9C"/>
    <w:rsid w:val="4D5C5732"/>
    <w:rsid w:val="4D656800"/>
    <w:rsid w:val="4D6C4B60"/>
    <w:rsid w:val="4D705706"/>
    <w:rsid w:val="4D7220A0"/>
    <w:rsid w:val="4D76173E"/>
    <w:rsid w:val="4D8A58C0"/>
    <w:rsid w:val="4D8D11C1"/>
    <w:rsid w:val="4D922BF5"/>
    <w:rsid w:val="4D9B5A29"/>
    <w:rsid w:val="4DA53BC8"/>
    <w:rsid w:val="4DB41824"/>
    <w:rsid w:val="4DB95A69"/>
    <w:rsid w:val="4DBD1F3A"/>
    <w:rsid w:val="4DBD526D"/>
    <w:rsid w:val="4DBD66A2"/>
    <w:rsid w:val="4DC31B92"/>
    <w:rsid w:val="4DD776ED"/>
    <w:rsid w:val="4DDF6E13"/>
    <w:rsid w:val="4DE41057"/>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A7B3B"/>
    <w:rsid w:val="4EFE4EC2"/>
    <w:rsid w:val="4EFF3444"/>
    <w:rsid w:val="4F037BFA"/>
    <w:rsid w:val="4F0441E5"/>
    <w:rsid w:val="4F155F27"/>
    <w:rsid w:val="4F181305"/>
    <w:rsid w:val="4F1A238F"/>
    <w:rsid w:val="4F2C365D"/>
    <w:rsid w:val="4F376D93"/>
    <w:rsid w:val="4F3D4163"/>
    <w:rsid w:val="4F50208E"/>
    <w:rsid w:val="4F535DEE"/>
    <w:rsid w:val="4F605642"/>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2A99"/>
    <w:rsid w:val="5014542B"/>
    <w:rsid w:val="50186BF6"/>
    <w:rsid w:val="502751AB"/>
    <w:rsid w:val="502C4247"/>
    <w:rsid w:val="502D25A0"/>
    <w:rsid w:val="502D660A"/>
    <w:rsid w:val="503209BD"/>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65E12"/>
    <w:rsid w:val="521C5D43"/>
    <w:rsid w:val="521D7ED7"/>
    <w:rsid w:val="5223724D"/>
    <w:rsid w:val="5239194F"/>
    <w:rsid w:val="52612620"/>
    <w:rsid w:val="526478E1"/>
    <w:rsid w:val="526A546C"/>
    <w:rsid w:val="52790FD9"/>
    <w:rsid w:val="527D3035"/>
    <w:rsid w:val="52887A7D"/>
    <w:rsid w:val="52894DE6"/>
    <w:rsid w:val="528C5E23"/>
    <w:rsid w:val="52993DA6"/>
    <w:rsid w:val="529B5EE8"/>
    <w:rsid w:val="529F0D9B"/>
    <w:rsid w:val="52CA3D8F"/>
    <w:rsid w:val="52CB4B2E"/>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45422"/>
    <w:rsid w:val="53495ACD"/>
    <w:rsid w:val="535337EC"/>
    <w:rsid w:val="53556970"/>
    <w:rsid w:val="535C4E3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EE526F"/>
    <w:rsid w:val="53F90D34"/>
    <w:rsid w:val="54002BFD"/>
    <w:rsid w:val="541942B6"/>
    <w:rsid w:val="541A5BBF"/>
    <w:rsid w:val="542A3FEF"/>
    <w:rsid w:val="542A5504"/>
    <w:rsid w:val="542F7A60"/>
    <w:rsid w:val="54346136"/>
    <w:rsid w:val="5452765B"/>
    <w:rsid w:val="54550067"/>
    <w:rsid w:val="54580F5A"/>
    <w:rsid w:val="546858EE"/>
    <w:rsid w:val="5478695B"/>
    <w:rsid w:val="5481307B"/>
    <w:rsid w:val="54860559"/>
    <w:rsid w:val="548810E8"/>
    <w:rsid w:val="54906088"/>
    <w:rsid w:val="54907EF0"/>
    <w:rsid w:val="549438A5"/>
    <w:rsid w:val="549C6534"/>
    <w:rsid w:val="54A14490"/>
    <w:rsid w:val="54A153FA"/>
    <w:rsid w:val="54AB29C5"/>
    <w:rsid w:val="54AB36A1"/>
    <w:rsid w:val="54B171C4"/>
    <w:rsid w:val="54B430B8"/>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9174E"/>
    <w:rsid w:val="56214A7B"/>
    <w:rsid w:val="56282C86"/>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70AD2"/>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075AF"/>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70D5"/>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C36345"/>
    <w:rsid w:val="57D01AAC"/>
    <w:rsid w:val="57DA0D38"/>
    <w:rsid w:val="57DD4E33"/>
    <w:rsid w:val="57DE0A52"/>
    <w:rsid w:val="57DF6500"/>
    <w:rsid w:val="57E60B9B"/>
    <w:rsid w:val="57E73B61"/>
    <w:rsid w:val="57F01737"/>
    <w:rsid w:val="57F73696"/>
    <w:rsid w:val="58005923"/>
    <w:rsid w:val="5803475B"/>
    <w:rsid w:val="580A6FBE"/>
    <w:rsid w:val="580F5BC1"/>
    <w:rsid w:val="58136099"/>
    <w:rsid w:val="58153B58"/>
    <w:rsid w:val="5822786C"/>
    <w:rsid w:val="58243371"/>
    <w:rsid w:val="58293CFC"/>
    <w:rsid w:val="58302962"/>
    <w:rsid w:val="5835010B"/>
    <w:rsid w:val="5846366F"/>
    <w:rsid w:val="584654C9"/>
    <w:rsid w:val="58470241"/>
    <w:rsid w:val="584813F6"/>
    <w:rsid w:val="58484F55"/>
    <w:rsid w:val="58563BF0"/>
    <w:rsid w:val="58590DD2"/>
    <w:rsid w:val="5863473D"/>
    <w:rsid w:val="586A319C"/>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76445"/>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8468F"/>
    <w:rsid w:val="5A5128C3"/>
    <w:rsid w:val="5A525A46"/>
    <w:rsid w:val="5A575C31"/>
    <w:rsid w:val="5A5C7772"/>
    <w:rsid w:val="5A6336A1"/>
    <w:rsid w:val="5A6B7C88"/>
    <w:rsid w:val="5A73612A"/>
    <w:rsid w:val="5A8F76C1"/>
    <w:rsid w:val="5A921A04"/>
    <w:rsid w:val="5A9A0A66"/>
    <w:rsid w:val="5AA05C2B"/>
    <w:rsid w:val="5AA541CF"/>
    <w:rsid w:val="5AAF48E4"/>
    <w:rsid w:val="5AB96041"/>
    <w:rsid w:val="5ABC4831"/>
    <w:rsid w:val="5ABC6BFA"/>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4C29CD"/>
    <w:rsid w:val="5B532679"/>
    <w:rsid w:val="5B57049C"/>
    <w:rsid w:val="5B570BDE"/>
    <w:rsid w:val="5B5B64C5"/>
    <w:rsid w:val="5B6207A7"/>
    <w:rsid w:val="5B627DC7"/>
    <w:rsid w:val="5B6C5737"/>
    <w:rsid w:val="5B763263"/>
    <w:rsid w:val="5B896F76"/>
    <w:rsid w:val="5B8F287C"/>
    <w:rsid w:val="5B975E5B"/>
    <w:rsid w:val="5B9C0984"/>
    <w:rsid w:val="5BA17C91"/>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4C3FDD"/>
    <w:rsid w:val="5D5864DB"/>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25CC7"/>
    <w:rsid w:val="5E6454D9"/>
    <w:rsid w:val="5E680BE8"/>
    <w:rsid w:val="5E6B7FF0"/>
    <w:rsid w:val="5E783202"/>
    <w:rsid w:val="5E7842EE"/>
    <w:rsid w:val="5E803D55"/>
    <w:rsid w:val="5E854DAE"/>
    <w:rsid w:val="5EA36A9B"/>
    <w:rsid w:val="5EA648E2"/>
    <w:rsid w:val="5EB32415"/>
    <w:rsid w:val="5EB52E6F"/>
    <w:rsid w:val="5EBF48DE"/>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A1D00"/>
    <w:rsid w:val="5FFB17C7"/>
    <w:rsid w:val="5FFE6C22"/>
    <w:rsid w:val="60000309"/>
    <w:rsid w:val="600B6B90"/>
    <w:rsid w:val="600C3224"/>
    <w:rsid w:val="600F6605"/>
    <w:rsid w:val="60143AD3"/>
    <w:rsid w:val="60281FCD"/>
    <w:rsid w:val="602876AC"/>
    <w:rsid w:val="60305290"/>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E5931"/>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EC4D45"/>
    <w:rsid w:val="60F46839"/>
    <w:rsid w:val="61027740"/>
    <w:rsid w:val="61034098"/>
    <w:rsid w:val="61067A64"/>
    <w:rsid w:val="610C7D1D"/>
    <w:rsid w:val="61105E47"/>
    <w:rsid w:val="6112529A"/>
    <w:rsid w:val="611A7B15"/>
    <w:rsid w:val="611C59F7"/>
    <w:rsid w:val="611F0B09"/>
    <w:rsid w:val="61200AAF"/>
    <w:rsid w:val="612D2321"/>
    <w:rsid w:val="613520CA"/>
    <w:rsid w:val="61455CF4"/>
    <w:rsid w:val="6146689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0C3CD6"/>
    <w:rsid w:val="6210415F"/>
    <w:rsid w:val="62185165"/>
    <w:rsid w:val="621D66D4"/>
    <w:rsid w:val="62220209"/>
    <w:rsid w:val="622E2CF4"/>
    <w:rsid w:val="622F5ABF"/>
    <w:rsid w:val="623D0C68"/>
    <w:rsid w:val="62460FCD"/>
    <w:rsid w:val="62480FF0"/>
    <w:rsid w:val="624B14C1"/>
    <w:rsid w:val="624F0394"/>
    <w:rsid w:val="625A29D8"/>
    <w:rsid w:val="625B2CDA"/>
    <w:rsid w:val="625B47C2"/>
    <w:rsid w:val="62630C6B"/>
    <w:rsid w:val="627301E8"/>
    <w:rsid w:val="627745DD"/>
    <w:rsid w:val="6295194F"/>
    <w:rsid w:val="6299295E"/>
    <w:rsid w:val="629A07BC"/>
    <w:rsid w:val="62A33CA7"/>
    <w:rsid w:val="62B94634"/>
    <w:rsid w:val="62BA3B2B"/>
    <w:rsid w:val="62C37511"/>
    <w:rsid w:val="62CC0A9E"/>
    <w:rsid w:val="62D11C3F"/>
    <w:rsid w:val="62D67D61"/>
    <w:rsid w:val="62E157FC"/>
    <w:rsid w:val="62E81148"/>
    <w:rsid w:val="62E83A0D"/>
    <w:rsid w:val="62F51CE1"/>
    <w:rsid w:val="62F76986"/>
    <w:rsid w:val="62FA3D7F"/>
    <w:rsid w:val="63074CE8"/>
    <w:rsid w:val="63100305"/>
    <w:rsid w:val="631360BB"/>
    <w:rsid w:val="631C3A36"/>
    <w:rsid w:val="63212420"/>
    <w:rsid w:val="632936A9"/>
    <w:rsid w:val="632F06D8"/>
    <w:rsid w:val="63311536"/>
    <w:rsid w:val="63317698"/>
    <w:rsid w:val="63340EAE"/>
    <w:rsid w:val="63443DC2"/>
    <w:rsid w:val="634B6A95"/>
    <w:rsid w:val="634F6CB9"/>
    <w:rsid w:val="635B030C"/>
    <w:rsid w:val="635E6984"/>
    <w:rsid w:val="63615D3E"/>
    <w:rsid w:val="6367139B"/>
    <w:rsid w:val="63683422"/>
    <w:rsid w:val="636C62BA"/>
    <w:rsid w:val="63821D61"/>
    <w:rsid w:val="63827E36"/>
    <w:rsid w:val="63842477"/>
    <w:rsid w:val="638823F9"/>
    <w:rsid w:val="63890B80"/>
    <w:rsid w:val="638B04D2"/>
    <w:rsid w:val="639A118D"/>
    <w:rsid w:val="639B3062"/>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250587"/>
    <w:rsid w:val="643F3FFC"/>
    <w:rsid w:val="644A69BC"/>
    <w:rsid w:val="64510577"/>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1D6BE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B12AA"/>
    <w:rsid w:val="661D3F49"/>
    <w:rsid w:val="66213A5C"/>
    <w:rsid w:val="6624683A"/>
    <w:rsid w:val="662D2EA4"/>
    <w:rsid w:val="6631571B"/>
    <w:rsid w:val="663D054E"/>
    <w:rsid w:val="6645261A"/>
    <w:rsid w:val="66460692"/>
    <w:rsid w:val="66491A43"/>
    <w:rsid w:val="6658158E"/>
    <w:rsid w:val="66631FDD"/>
    <w:rsid w:val="66727620"/>
    <w:rsid w:val="66763EED"/>
    <w:rsid w:val="667930F9"/>
    <w:rsid w:val="6679372B"/>
    <w:rsid w:val="667B3C56"/>
    <w:rsid w:val="66953491"/>
    <w:rsid w:val="669700E7"/>
    <w:rsid w:val="66980BF6"/>
    <w:rsid w:val="66A56CDB"/>
    <w:rsid w:val="66AD65FC"/>
    <w:rsid w:val="66B81454"/>
    <w:rsid w:val="66BE1292"/>
    <w:rsid w:val="66BF76F1"/>
    <w:rsid w:val="66CB6E3D"/>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67078"/>
    <w:rsid w:val="67AC341B"/>
    <w:rsid w:val="67B10069"/>
    <w:rsid w:val="67B42C3D"/>
    <w:rsid w:val="67B861F9"/>
    <w:rsid w:val="67BD7371"/>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E100A"/>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B039B"/>
    <w:rsid w:val="6BBD3E9D"/>
    <w:rsid w:val="6BC03721"/>
    <w:rsid w:val="6BC51A97"/>
    <w:rsid w:val="6BCC01D5"/>
    <w:rsid w:val="6BCF2DCA"/>
    <w:rsid w:val="6BDD0493"/>
    <w:rsid w:val="6BDE54AC"/>
    <w:rsid w:val="6BE068F6"/>
    <w:rsid w:val="6BE072B5"/>
    <w:rsid w:val="6BEC4003"/>
    <w:rsid w:val="6BEC52EB"/>
    <w:rsid w:val="6BF229CE"/>
    <w:rsid w:val="6BF25C39"/>
    <w:rsid w:val="6C06150E"/>
    <w:rsid w:val="6C155F31"/>
    <w:rsid w:val="6C19101D"/>
    <w:rsid w:val="6C206E21"/>
    <w:rsid w:val="6C263A06"/>
    <w:rsid w:val="6C3A624E"/>
    <w:rsid w:val="6C3F4795"/>
    <w:rsid w:val="6C431738"/>
    <w:rsid w:val="6C505966"/>
    <w:rsid w:val="6C5D04BB"/>
    <w:rsid w:val="6C666C3C"/>
    <w:rsid w:val="6C675F41"/>
    <w:rsid w:val="6C6833E1"/>
    <w:rsid w:val="6C8E4315"/>
    <w:rsid w:val="6C95615F"/>
    <w:rsid w:val="6CA94419"/>
    <w:rsid w:val="6CB242A2"/>
    <w:rsid w:val="6CC818AD"/>
    <w:rsid w:val="6CE0612A"/>
    <w:rsid w:val="6CE269D3"/>
    <w:rsid w:val="6CEC448A"/>
    <w:rsid w:val="6CED284E"/>
    <w:rsid w:val="6CF04EB7"/>
    <w:rsid w:val="6CF17872"/>
    <w:rsid w:val="6CF76712"/>
    <w:rsid w:val="6CF903CC"/>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232E"/>
    <w:rsid w:val="6D9E7C69"/>
    <w:rsid w:val="6DA71839"/>
    <w:rsid w:val="6DA84071"/>
    <w:rsid w:val="6DB20233"/>
    <w:rsid w:val="6DB81D13"/>
    <w:rsid w:val="6DC54D30"/>
    <w:rsid w:val="6DC65806"/>
    <w:rsid w:val="6DDF0294"/>
    <w:rsid w:val="6DE9618F"/>
    <w:rsid w:val="6DED02CD"/>
    <w:rsid w:val="6DF06414"/>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9D3008"/>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1D16C4"/>
    <w:rsid w:val="6F28474F"/>
    <w:rsid w:val="6F350882"/>
    <w:rsid w:val="6F35635E"/>
    <w:rsid w:val="6F3713E9"/>
    <w:rsid w:val="6F384951"/>
    <w:rsid w:val="6F4876AF"/>
    <w:rsid w:val="6F537FC0"/>
    <w:rsid w:val="6F607895"/>
    <w:rsid w:val="6F61040C"/>
    <w:rsid w:val="6F6776E1"/>
    <w:rsid w:val="6F702CF5"/>
    <w:rsid w:val="6F7A0C79"/>
    <w:rsid w:val="6F7E1B78"/>
    <w:rsid w:val="6F8F3906"/>
    <w:rsid w:val="6F9C5D71"/>
    <w:rsid w:val="6FA3781E"/>
    <w:rsid w:val="6FAC61CF"/>
    <w:rsid w:val="6FAE26DD"/>
    <w:rsid w:val="6FAF5C06"/>
    <w:rsid w:val="6FB32C37"/>
    <w:rsid w:val="6FB415FB"/>
    <w:rsid w:val="6FB80EE8"/>
    <w:rsid w:val="6FC0781E"/>
    <w:rsid w:val="6FD36624"/>
    <w:rsid w:val="6FE449FB"/>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10706"/>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83220"/>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07DF9"/>
    <w:rsid w:val="71E3397B"/>
    <w:rsid w:val="71E346E4"/>
    <w:rsid w:val="71E56A62"/>
    <w:rsid w:val="71E767FC"/>
    <w:rsid w:val="71EF5D41"/>
    <w:rsid w:val="71FC70DF"/>
    <w:rsid w:val="72056436"/>
    <w:rsid w:val="720979A0"/>
    <w:rsid w:val="720F633E"/>
    <w:rsid w:val="72130B93"/>
    <w:rsid w:val="72150C8D"/>
    <w:rsid w:val="72185D39"/>
    <w:rsid w:val="721C688B"/>
    <w:rsid w:val="72200AF0"/>
    <w:rsid w:val="7223403F"/>
    <w:rsid w:val="722E7DFE"/>
    <w:rsid w:val="72317D29"/>
    <w:rsid w:val="72323CA9"/>
    <w:rsid w:val="723749D7"/>
    <w:rsid w:val="724E54F1"/>
    <w:rsid w:val="7254202A"/>
    <w:rsid w:val="72632A3F"/>
    <w:rsid w:val="727334E4"/>
    <w:rsid w:val="72756082"/>
    <w:rsid w:val="72772DDB"/>
    <w:rsid w:val="727B2E39"/>
    <w:rsid w:val="727C4444"/>
    <w:rsid w:val="72827328"/>
    <w:rsid w:val="728B2CA4"/>
    <w:rsid w:val="728B509F"/>
    <w:rsid w:val="728F0A31"/>
    <w:rsid w:val="729A297B"/>
    <w:rsid w:val="72A310CE"/>
    <w:rsid w:val="72A60BAC"/>
    <w:rsid w:val="72B23B41"/>
    <w:rsid w:val="72B751B8"/>
    <w:rsid w:val="72CE3184"/>
    <w:rsid w:val="72CE7D06"/>
    <w:rsid w:val="72CF40C2"/>
    <w:rsid w:val="72D456A5"/>
    <w:rsid w:val="72DC661A"/>
    <w:rsid w:val="72E10C27"/>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1D240D"/>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7378F"/>
    <w:rsid w:val="75594581"/>
    <w:rsid w:val="755A5494"/>
    <w:rsid w:val="75625A16"/>
    <w:rsid w:val="7564200E"/>
    <w:rsid w:val="75663FD1"/>
    <w:rsid w:val="757540E3"/>
    <w:rsid w:val="757D300E"/>
    <w:rsid w:val="75912385"/>
    <w:rsid w:val="759739B3"/>
    <w:rsid w:val="759B02AD"/>
    <w:rsid w:val="759B0C43"/>
    <w:rsid w:val="759B5CAF"/>
    <w:rsid w:val="75A53BC6"/>
    <w:rsid w:val="75AD16E0"/>
    <w:rsid w:val="75C123A7"/>
    <w:rsid w:val="75C1550C"/>
    <w:rsid w:val="75CC74C8"/>
    <w:rsid w:val="75CD2584"/>
    <w:rsid w:val="75D1230F"/>
    <w:rsid w:val="75D357A7"/>
    <w:rsid w:val="75DB08A6"/>
    <w:rsid w:val="75E2330A"/>
    <w:rsid w:val="75E7499A"/>
    <w:rsid w:val="75EC3CF5"/>
    <w:rsid w:val="75F75D00"/>
    <w:rsid w:val="75F8074C"/>
    <w:rsid w:val="7600209C"/>
    <w:rsid w:val="760049B0"/>
    <w:rsid w:val="760200DC"/>
    <w:rsid w:val="760218FE"/>
    <w:rsid w:val="76070A73"/>
    <w:rsid w:val="760E1234"/>
    <w:rsid w:val="761014A5"/>
    <w:rsid w:val="76213B4B"/>
    <w:rsid w:val="76240922"/>
    <w:rsid w:val="76250B12"/>
    <w:rsid w:val="762D70E7"/>
    <w:rsid w:val="7630359D"/>
    <w:rsid w:val="763B42FB"/>
    <w:rsid w:val="763D4BE9"/>
    <w:rsid w:val="763F1F92"/>
    <w:rsid w:val="76424474"/>
    <w:rsid w:val="76437632"/>
    <w:rsid w:val="76451CD6"/>
    <w:rsid w:val="76452780"/>
    <w:rsid w:val="7649382D"/>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B153BA"/>
    <w:rsid w:val="76BE7B18"/>
    <w:rsid w:val="76C72CA0"/>
    <w:rsid w:val="76EB2518"/>
    <w:rsid w:val="76ED0EF4"/>
    <w:rsid w:val="76F2295F"/>
    <w:rsid w:val="76F50A9F"/>
    <w:rsid w:val="76FD2D1D"/>
    <w:rsid w:val="770F088C"/>
    <w:rsid w:val="77151845"/>
    <w:rsid w:val="77187F65"/>
    <w:rsid w:val="7720338B"/>
    <w:rsid w:val="77284F7D"/>
    <w:rsid w:val="7729766A"/>
    <w:rsid w:val="772D35A6"/>
    <w:rsid w:val="772D3786"/>
    <w:rsid w:val="773A62B8"/>
    <w:rsid w:val="77422DC5"/>
    <w:rsid w:val="7743723B"/>
    <w:rsid w:val="77490C6C"/>
    <w:rsid w:val="774B3934"/>
    <w:rsid w:val="774D47BD"/>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3F4C71"/>
    <w:rsid w:val="784151EC"/>
    <w:rsid w:val="784563AF"/>
    <w:rsid w:val="7849196F"/>
    <w:rsid w:val="78591903"/>
    <w:rsid w:val="787659AD"/>
    <w:rsid w:val="7888219B"/>
    <w:rsid w:val="78887070"/>
    <w:rsid w:val="788908C8"/>
    <w:rsid w:val="788F02F6"/>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E35F2"/>
    <w:rsid w:val="7971290E"/>
    <w:rsid w:val="79762768"/>
    <w:rsid w:val="797951A9"/>
    <w:rsid w:val="797A5751"/>
    <w:rsid w:val="7990174F"/>
    <w:rsid w:val="79A15149"/>
    <w:rsid w:val="79A37CCA"/>
    <w:rsid w:val="79A71C2E"/>
    <w:rsid w:val="79A74BCA"/>
    <w:rsid w:val="79AE39E9"/>
    <w:rsid w:val="79B57356"/>
    <w:rsid w:val="79BD3DE0"/>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A20A2"/>
    <w:rsid w:val="7A0F1525"/>
    <w:rsid w:val="7A157806"/>
    <w:rsid w:val="7A1A32BE"/>
    <w:rsid w:val="7A262C2D"/>
    <w:rsid w:val="7A291938"/>
    <w:rsid w:val="7A356FA7"/>
    <w:rsid w:val="7A3D7CC0"/>
    <w:rsid w:val="7A4006D3"/>
    <w:rsid w:val="7A4D07BA"/>
    <w:rsid w:val="7A5863D3"/>
    <w:rsid w:val="7A5C5FAF"/>
    <w:rsid w:val="7A634604"/>
    <w:rsid w:val="7A64499E"/>
    <w:rsid w:val="7A6656B6"/>
    <w:rsid w:val="7A723F72"/>
    <w:rsid w:val="7A743D9C"/>
    <w:rsid w:val="7A790643"/>
    <w:rsid w:val="7A7D4128"/>
    <w:rsid w:val="7A820760"/>
    <w:rsid w:val="7A87742E"/>
    <w:rsid w:val="7A9123B7"/>
    <w:rsid w:val="7A9711EE"/>
    <w:rsid w:val="7A9A1B33"/>
    <w:rsid w:val="7A9C3E5C"/>
    <w:rsid w:val="7A9D1CEF"/>
    <w:rsid w:val="7AA16CBD"/>
    <w:rsid w:val="7AA5277A"/>
    <w:rsid w:val="7AA952CF"/>
    <w:rsid w:val="7AAE678B"/>
    <w:rsid w:val="7AB07C78"/>
    <w:rsid w:val="7AB514B2"/>
    <w:rsid w:val="7AB6596F"/>
    <w:rsid w:val="7ACA29DF"/>
    <w:rsid w:val="7ACD2D7F"/>
    <w:rsid w:val="7AD27B42"/>
    <w:rsid w:val="7AD53EC1"/>
    <w:rsid w:val="7AD84E14"/>
    <w:rsid w:val="7ADB474B"/>
    <w:rsid w:val="7ADB7F1A"/>
    <w:rsid w:val="7AE55787"/>
    <w:rsid w:val="7AF91DAF"/>
    <w:rsid w:val="7AF9607E"/>
    <w:rsid w:val="7B18546A"/>
    <w:rsid w:val="7B1A59A3"/>
    <w:rsid w:val="7B1B467F"/>
    <w:rsid w:val="7B1F59AA"/>
    <w:rsid w:val="7B214978"/>
    <w:rsid w:val="7B2E1D87"/>
    <w:rsid w:val="7B391012"/>
    <w:rsid w:val="7B4A5781"/>
    <w:rsid w:val="7B4E09BF"/>
    <w:rsid w:val="7B5D5DAB"/>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43666"/>
    <w:rsid w:val="7BC8293C"/>
    <w:rsid w:val="7BC87053"/>
    <w:rsid w:val="7BCE1436"/>
    <w:rsid w:val="7BCF35F0"/>
    <w:rsid w:val="7BD13894"/>
    <w:rsid w:val="7BDC009C"/>
    <w:rsid w:val="7BDE0174"/>
    <w:rsid w:val="7BDF18E6"/>
    <w:rsid w:val="7BE131F6"/>
    <w:rsid w:val="7BF11348"/>
    <w:rsid w:val="7BF542FE"/>
    <w:rsid w:val="7BFF0642"/>
    <w:rsid w:val="7C056E44"/>
    <w:rsid w:val="7C206952"/>
    <w:rsid w:val="7C2D1C60"/>
    <w:rsid w:val="7C3832F5"/>
    <w:rsid w:val="7C3F0A2A"/>
    <w:rsid w:val="7C42281E"/>
    <w:rsid w:val="7C610C91"/>
    <w:rsid w:val="7C613AEC"/>
    <w:rsid w:val="7C6E7E2C"/>
    <w:rsid w:val="7C734075"/>
    <w:rsid w:val="7C773CA6"/>
    <w:rsid w:val="7C815D2A"/>
    <w:rsid w:val="7C831756"/>
    <w:rsid w:val="7C8C4CAB"/>
    <w:rsid w:val="7C982736"/>
    <w:rsid w:val="7C9A2FA3"/>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95DD1"/>
    <w:rsid w:val="7D7A555A"/>
    <w:rsid w:val="7D7F5298"/>
    <w:rsid w:val="7D8362BA"/>
    <w:rsid w:val="7D8B7B11"/>
    <w:rsid w:val="7DA01837"/>
    <w:rsid w:val="7DA843EE"/>
    <w:rsid w:val="7DAB10BD"/>
    <w:rsid w:val="7DBF2E7A"/>
    <w:rsid w:val="7DCC7A63"/>
    <w:rsid w:val="7DD7657D"/>
    <w:rsid w:val="7DDA6C39"/>
    <w:rsid w:val="7DE15552"/>
    <w:rsid w:val="7DE16744"/>
    <w:rsid w:val="7DEB2C44"/>
    <w:rsid w:val="7DF464FC"/>
    <w:rsid w:val="7DFE63E1"/>
    <w:rsid w:val="7E006A11"/>
    <w:rsid w:val="7E0A633B"/>
    <w:rsid w:val="7E1C55F3"/>
    <w:rsid w:val="7E202566"/>
    <w:rsid w:val="7E222965"/>
    <w:rsid w:val="7E2E7D3F"/>
    <w:rsid w:val="7E330688"/>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85759"/>
    <w:rsid w:val="7EA87297"/>
    <w:rsid w:val="7EAE1E9B"/>
    <w:rsid w:val="7EB56059"/>
    <w:rsid w:val="7EB73383"/>
    <w:rsid w:val="7EBD506F"/>
    <w:rsid w:val="7EC22792"/>
    <w:rsid w:val="7EC23404"/>
    <w:rsid w:val="7EC51A4F"/>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2022-09-30T14:55:53Z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